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A77C" w14:textId="5805578C" w:rsidR="00563222" w:rsidRPr="00563222" w:rsidRDefault="00563222" w:rsidP="00563222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eastAsia="MS Mincho" w:hAnsi="Calibri"/>
          <w:b/>
          <w:i/>
          <w:color w:val="4F81BD"/>
          <w:sz w:val="20"/>
          <w:lang w:val="hr-HR"/>
        </w:rPr>
      </w:pP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 xml:space="preserve">KLASA: </w:t>
      </w:r>
      <w:r w:rsidR="004B1633">
        <w:rPr>
          <w:rFonts w:ascii="Calibri" w:eastAsia="MS Mincho" w:hAnsi="Calibri"/>
          <w:b/>
          <w:i/>
          <w:color w:val="4F81BD"/>
          <w:sz w:val="20"/>
          <w:lang w:val="hr-HR"/>
        </w:rPr>
        <w:t>4</w:t>
      </w: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>00-0</w:t>
      </w:r>
      <w:r w:rsidR="00141139">
        <w:rPr>
          <w:rFonts w:ascii="Calibri" w:eastAsia="MS Mincho" w:hAnsi="Calibri"/>
          <w:b/>
          <w:i/>
          <w:color w:val="4F81BD"/>
          <w:sz w:val="20"/>
          <w:lang w:val="hr-HR"/>
        </w:rPr>
        <w:t>4</w:t>
      </w: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>/2</w:t>
      </w:r>
      <w:r w:rsidR="007E2C3F">
        <w:rPr>
          <w:rFonts w:ascii="Calibri" w:eastAsia="MS Mincho" w:hAnsi="Calibri"/>
          <w:b/>
          <w:i/>
          <w:color w:val="4F81BD"/>
          <w:sz w:val="20"/>
          <w:lang w:val="hr-HR"/>
        </w:rPr>
        <w:t>5</w:t>
      </w: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>-0</w:t>
      </w:r>
      <w:r w:rsidR="007E2C3F">
        <w:rPr>
          <w:rFonts w:ascii="Calibri" w:eastAsia="MS Mincho" w:hAnsi="Calibri"/>
          <w:b/>
          <w:i/>
          <w:color w:val="4F81BD"/>
          <w:sz w:val="20"/>
          <w:lang w:val="hr-HR"/>
        </w:rPr>
        <w:t>2</w:t>
      </w: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>/01</w:t>
      </w:r>
    </w:p>
    <w:p w14:paraId="66FA1457" w14:textId="62AD8FD5" w:rsidR="00DC09FD" w:rsidRDefault="00563222" w:rsidP="00DC09FD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eastAsia="MS Mincho" w:hAnsi="Calibri"/>
          <w:b/>
          <w:i/>
          <w:color w:val="4F81BD"/>
          <w:sz w:val="20"/>
          <w:lang w:val="hr-HR"/>
        </w:rPr>
      </w:pPr>
      <w:r w:rsidRPr="00563222">
        <w:rPr>
          <w:rFonts w:ascii="Calibri" w:eastAsia="MS Mincho" w:hAnsi="Calibri"/>
          <w:b/>
          <w:i/>
          <w:color w:val="4F81BD"/>
          <w:sz w:val="20"/>
          <w:lang w:val="hr-HR"/>
        </w:rPr>
        <w:t>URBROJ: 2182-1-49-04/1-2</w:t>
      </w:r>
      <w:r w:rsidR="007E2C3F">
        <w:rPr>
          <w:rFonts w:ascii="Calibri" w:eastAsia="MS Mincho" w:hAnsi="Calibri"/>
          <w:b/>
          <w:i/>
          <w:color w:val="4F81BD"/>
          <w:sz w:val="20"/>
          <w:lang w:val="hr-HR"/>
        </w:rPr>
        <w:t>5</w:t>
      </w:r>
      <w:r w:rsidR="00DC09FD">
        <w:rPr>
          <w:rFonts w:ascii="Calibri" w:eastAsia="MS Mincho" w:hAnsi="Calibri"/>
          <w:b/>
          <w:i/>
          <w:color w:val="4F81BD"/>
          <w:sz w:val="20"/>
          <w:lang w:val="hr-HR"/>
        </w:rPr>
        <w:t>-</w:t>
      </w:r>
      <w:r w:rsidR="007E2C3F">
        <w:rPr>
          <w:rFonts w:ascii="Calibri" w:eastAsia="MS Mincho" w:hAnsi="Calibri"/>
          <w:b/>
          <w:i/>
          <w:color w:val="4F81BD"/>
          <w:sz w:val="20"/>
          <w:lang w:val="hr-HR"/>
        </w:rPr>
        <w:t>3</w:t>
      </w:r>
    </w:p>
    <w:p w14:paraId="22EB34B5" w14:textId="0F476FA9" w:rsidR="00487D2C" w:rsidRPr="00487D2C" w:rsidRDefault="00487D2C" w:rsidP="00DC09FD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Calibri" w:eastAsia="MS Mincho" w:hAnsi="Calibri"/>
          <w:b/>
          <w:i/>
          <w:color w:val="4F81BD"/>
          <w:sz w:val="20"/>
          <w:lang w:val="hr-HR"/>
        </w:rPr>
      </w:pPr>
      <w:r w:rsidRPr="00487D2C">
        <w:rPr>
          <w:rFonts w:ascii="Calibri" w:eastAsia="MS Mincho" w:hAnsi="Calibri"/>
          <w:b/>
          <w:i/>
          <w:color w:val="4F81BD"/>
          <w:sz w:val="20"/>
          <w:lang w:val="hr-HR"/>
        </w:rPr>
        <w:t xml:space="preserve">Šibenik, </w:t>
      </w:r>
      <w:r w:rsidR="004B1633">
        <w:rPr>
          <w:rFonts w:ascii="Calibri" w:eastAsia="MS Mincho" w:hAnsi="Calibri"/>
          <w:b/>
          <w:i/>
          <w:color w:val="4F81BD"/>
          <w:sz w:val="20"/>
          <w:lang w:val="hr-HR"/>
        </w:rPr>
        <w:t>2</w:t>
      </w:r>
      <w:r w:rsidR="0067337D">
        <w:rPr>
          <w:rFonts w:ascii="Calibri" w:eastAsia="MS Mincho" w:hAnsi="Calibri"/>
          <w:b/>
          <w:i/>
          <w:color w:val="4F81BD"/>
          <w:sz w:val="20"/>
          <w:lang w:val="hr-HR"/>
        </w:rPr>
        <w:t>2</w:t>
      </w:r>
      <w:r w:rsidRPr="00487D2C">
        <w:rPr>
          <w:rFonts w:ascii="Calibri" w:eastAsia="MS Mincho" w:hAnsi="Calibri"/>
          <w:b/>
          <w:i/>
          <w:color w:val="4F81BD"/>
          <w:sz w:val="20"/>
          <w:lang w:val="hr-HR"/>
        </w:rPr>
        <w:t>.</w:t>
      </w:r>
      <w:r w:rsidR="00DC09FD">
        <w:rPr>
          <w:rFonts w:ascii="Calibri" w:eastAsia="MS Mincho" w:hAnsi="Calibri"/>
          <w:b/>
          <w:i/>
          <w:color w:val="4F81BD"/>
          <w:sz w:val="20"/>
          <w:lang w:val="hr-HR"/>
        </w:rPr>
        <w:t xml:space="preserve"> srpanj </w:t>
      </w:r>
      <w:r w:rsidRPr="00487D2C">
        <w:rPr>
          <w:rFonts w:ascii="Calibri" w:eastAsia="MS Mincho" w:hAnsi="Calibri"/>
          <w:b/>
          <w:i/>
          <w:color w:val="4F81BD"/>
          <w:sz w:val="20"/>
          <w:lang w:val="hr-HR"/>
        </w:rPr>
        <w:t>202</w:t>
      </w:r>
      <w:r w:rsidR="0067337D">
        <w:rPr>
          <w:rFonts w:ascii="Calibri" w:eastAsia="MS Mincho" w:hAnsi="Calibri"/>
          <w:b/>
          <w:i/>
          <w:color w:val="4F81BD"/>
          <w:sz w:val="20"/>
          <w:lang w:val="hr-HR"/>
        </w:rPr>
        <w:t>5</w:t>
      </w:r>
      <w:r w:rsidRPr="00487D2C">
        <w:rPr>
          <w:rFonts w:ascii="Calibri" w:eastAsia="MS Mincho" w:hAnsi="Calibri"/>
          <w:b/>
          <w:i/>
          <w:color w:val="4F81BD"/>
          <w:sz w:val="20"/>
          <w:lang w:val="hr-HR"/>
        </w:rPr>
        <w:t>.godine</w:t>
      </w:r>
    </w:p>
    <w:p w14:paraId="3451DB32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Calibri" w:eastAsia="Calibri" w:hAnsi="Calibri"/>
          <w:szCs w:val="22"/>
          <w:lang w:val="hr-HR"/>
        </w:rPr>
      </w:pPr>
    </w:p>
    <w:p w14:paraId="4352E607" w14:textId="52769862" w:rsidR="00487D2C" w:rsidRDefault="00852671" w:rsidP="00487D2C">
      <w:pPr>
        <w:pBdr>
          <w:bottom w:val="single" w:sz="4" w:space="4" w:color="4F81BD"/>
        </w:pBdr>
        <w:overflowPunct/>
        <w:autoSpaceDE/>
        <w:autoSpaceDN/>
        <w:adjustRightInd/>
        <w:spacing w:before="200" w:after="280"/>
        <w:ind w:left="-426" w:right="-142"/>
        <w:jc w:val="center"/>
        <w:textAlignment w:val="auto"/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</w:pPr>
      <w:r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P</w:t>
      </w:r>
      <w:r w:rsidR="0040143F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olu</w:t>
      </w:r>
      <w:r w:rsidR="008A1702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godišnj</w:t>
      </w:r>
      <w:r w:rsidR="009E013A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i</w:t>
      </w:r>
      <w:r w:rsidR="008A1702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 xml:space="preserve"> izvještaj </w:t>
      </w:r>
      <w:r w:rsidR="00BB1425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 xml:space="preserve">o </w:t>
      </w:r>
      <w:r w:rsid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izvršenj</w:t>
      </w:r>
      <w:r w:rsidR="00BB1425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u</w:t>
      </w:r>
      <w:r w:rsid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 xml:space="preserve"> </w:t>
      </w:r>
    </w:p>
    <w:p w14:paraId="5E4F84B7" w14:textId="77777777" w:rsidR="00487D2C" w:rsidRPr="00487D2C" w:rsidRDefault="00487D2C" w:rsidP="00487D2C">
      <w:pPr>
        <w:pBdr>
          <w:bottom w:val="single" w:sz="4" w:space="4" w:color="4F81BD"/>
        </w:pBdr>
        <w:overflowPunct/>
        <w:autoSpaceDE/>
        <w:autoSpaceDN/>
        <w:adjustRightInd/>
        <w:spacing w:before="200" w:after="280"/>
        <w:ind w:left="-426" w:right="-142"/>
        <w:jc w:val="center"/>
        <w:textAlignment w:val="auto"/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</w:pPr>
      <w:r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financijskog plana</w:t>
      </w:r>
      <w:r w:rsidRP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 xml:space="preserve"> </w:t>
      </w:r>
    </w:p>
    <w:p w14:paraId="2BA34915" w14:textId="77777777" w:rsidR="00487D2C" w:rsidRPr="00487D2C" w:rsidRDefault="00487D2C" w:rsidP="00487D2C">
      <w:pPr>
        <w:pBdr>
          <w:bottom w:val="single" w:sz="4" w:space="4" w:color="4F81BD"/>
        </w:pBdr>
        <w:overflowPunct/>
        <w:autoSpaceDE/>
        <w:autoSpaceDN/>
        <w:adjustRightInd/>
        <w:spacing w:before="200" w:after="280"/>
        <w:ind w:left="-426" w:right="-142"/>
        <w:jc w:val="center"/>
        <w:textAlignment w:val="auto"/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</w:pPr>
      <w:r w:rsidRP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Javne ustanove „Nacionalni park Krka“</w:t>
      </w:r>
    </w:p>
    <w:p w14:paraId="323773FC" w14:textId="2A8C8A71" w:rsidR="00487D2C" w:rsidRPr="00487D2C" w:rsidRDefault="00487D2C" w:rsidP="00487D2C">
      <w:pPr>
        <w:pBdr>
          <w:bottom w:val="single" w:sz="4" w:space="4" w:color="4F81BD"/>
        </w:pBdr>
        <w:overflowPunct/>
        <w:autoSpaceDE/>
        <w:autoSpaceDN/>
        <w:adjustRightInd/>
        <w:spacing w:before="200" w:after="280"/>
        <w:ind w:left="567" w:right="-142" w:hanging="993"/>
        <w:jc w:val="center"/>
        <w:textAlignment w:val="auto"/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</w:pPr>
      <w:r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 xml:space="preserve">za </w:t>
      </w:r>
      <w:r w:rsidRP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202</w:t>
      </w:r>
      <w:r w:rsidR="0067337D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5</w:t>
      </w:r>
      <w:r w:rsidRPr="00487D2C"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. godin</w:t>
      </w:r>
      <w:r>
        <w:rPr>
          <w:rFonts w:ascii="Calibri" w:eastAsia="Calibri" w:hAnsi="Calibri"/>
          <w:b/>
          <w:bCs/>
          <w:i/>
          <w:iCs/>
          <w:color w:val="4F81BD"/>
          <w:sz w:val="40"/>
          <w:szCs w:val="22"/>
          <w:lang w:val="hr-HR"/>
        </w:rPr>
        <w:t>u</w:t>
      </w:r>
    </w:p>
    <w:p w14:paraId="14695DB8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  <w:r w:rsidRPr="00487D2C">
        <w:rPr>
          <w:rFonts w:ascii="Calibri" w:eastAsia="Calibri" w:hAnsi="Calibri"/>
          <w:noProof/>
          <w:szCs w:val="22"/>
          <w:lang w:val="hr-HR" w:eastAsia="hr-HR"/>
        </w:rPr>
        <w:drawing>
          <wp:inline distT="0" distB="0" distL="0" distR="0" wp14:anchorId="0178C8B2" wp14:editId="11B8107F">
            <wp:extent cx="3871595" cy="3401695"/>
            <wp:effectExtent l="0" t="0" r="0" b="8255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1595" cy="34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D2726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2A13A556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4EBAA77D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69B838AE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5B6355FB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0CE6782C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009CD860" w14:textId="77777777" w:rsidR="00487D2C" w:rsidRPr="00487D2C" w:rsidRDefault="00487D2C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szCs w:val="22"/>
          <w:lang w:val="hr-HR" w:eastAsia="hr-HR"/>
        </w:rPr>
      </w:pPr>
    </w:p>
    <w:p w14:paraId="1C258AAF" w14:textId="0DCBC11B" w:rsidR="00487D2C" w:rsidRPr="00487D2C" w:rsidRDefault="0040143F" w:rsidP="00487D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eastAsia="Calibri" w:hAnsi="Calibri"/>
          <w:b/>
          <w:i/>
          <w:szCs w:val="22"/>
          <w:lang w:val="hr-HR" w:eastAsia="hr-HR"/>
        </w:rPr>
      </w:pPr>
      <w:r>
        <w:rPr>
          <w:rFonts w:ascii="Calibri" w:eastAsia="Calibri" w:hAnsi="Calibri"/>
          <w:b/>
          <w:i/>
          <w:szCs w:val="22"/>
          <w:lang w:val="hr-HR" w:eastAsia="hr-HR"/>
        </w:rPr>
        <w:t>srpanj</w:t>
      </w:r>
      <w:r w:rsidR="00487D2C" w:rsidRPr="00487D2C">
        <w:rPr>
          <w:rFonts w:ascii="Calibri" w:eastAsia="Calibri" w:hAnsi="Calibri"/>
          <w:b/>
          <w:i/>
          <w:szCs w:val="22"/>
          <w:lang w:val="hr-HR" w:eastAsia="hr-HR"/>
        </w:rPr>
        <w:t xml:space="preserve"> 20</w:t>
      </w:r>
      <w:r w:rsidR="007E2C3F">
        <w:rPr>
          <w:rFonts w:ascii="Calibri" w:eastAsia="Calibri" w:hAnsi="Calibri"/>
          <w:b/>
          <w:i/>
          <w:szCs w:val="22"/>
          <w:lang w:val="hr-HR" w:eastAsia="hr-HR"/>
        </w:rPr>
        <w:t>25</w:t>
      </w:r>
      <w:r w:rsidR="00487D2C" w:rsidRPr="00487D2C">
        <w:rPr>
          <w:rFonts w:ascii="Calibri" w:eastAsia="Calibri" w:hAnsi="Calibri"/>
          <w:b/>
          <w:i/>
          <w:szCs w:val="22"/>
          <w:lang w:val="hr-HR" w:eastAsia="hr-HR"/>
        </w:rPr>
        <w:t xml:space="preserve">. </w:t>
      </w:r>
    </w:p>
    <w:p w14:paraId="67460AB4" w14:textId="77777777" w:rsidR="00AD008A" w:rsidRDefault="00AD008A">
      <w:pPr>
        <w:overflowPunct/>
        <w:autoSpaceDE/>
        <w:autoSpaceDN/>
        <w:adjustRightInd/>
        <w:spacing w:after="200" w:line="276" w:lineRule="auto"/>
        <w:jc w:val="left"/>
        <w:textAlignment w:val="auto"/>
        <w:sectPr w:rsidR="00AD008A" w:rsidSect="00AD008A">
          <w:headerReference w:type="default" r:id="rId8"/>
          <w:footerReference w:type="default" r:id="rId9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13725" w:type="dxa"/>
        <w:tblLook w:val="04A0" w:firstRow="1" w:lastRow="0" w:firstColumn="1" w:lastColumn="0" w:noHBand="0" w:noVBand="1"/>
      </w:tblPr>
      <w:tblGrid>
        <w:gridCol w:w="108"/>
        <w:gridCol w:w="5133"/>
        <w:gridCol w:w="185"/>
        <w:gridCol w:w="1443"/>
        <w:gridCol w:w="263"/>
        <w:gridCol w:w="1434"/>
        <w:gridCol w:w="377"/>
        <w:gridCol w:w="1320"/>
        <w:gridCol w:w="491"/>
        <w:gridCol w:w="1234"/>
        <w:gridCol w:w="589"/>
        <w:gridCol w:w="439"/>
        <w:gridCol w:w="465"/>
        <w:gridCol w:w="244"/>
      </w:tblGrid>
      <w:tr w:rsidR="00510584" w:rsidRPr="00510584" w14:paraId="4BA1F2F2" w14:textId="77777777" w:rsidTr="0067337D">
        <w:trPr>
          <w:gridBefore w:val="1"/>
          <w:gridAfter w:val="1"/>
          <w:wBefore w:w="108" w:type="dxa"/>
          <w:wAfter w:w="244" w:type="dxa"/>
          <w:trHeight w:val="280"/>
        </w:trPr>
        <w:tc>
          <w:tcPr>
            <w:tcW w:w="1337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8A67" w14:textId="77777777" w:rsidR="00080F4E" w:rsidRDefault="00080F4E" w:rsidP="00700D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24"/>
                <w:szCs w:val="24"/>
                <w:lang w:val="hr-HR" w:eastAsia="hr-HR"/>
              </w:rPr>
            </w:pPr>
          </w:p>
          <w:p w14:paraId="266B3589" w14:textId="71C19032" w:rsidR="00700D1D" w:rsidRPr="00700D1D" w:rsidRDefault="00700D1D" w:rsidP="00700D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sz w:val="24"/>
                <w:szCs w:val="24"/>
                <w:lang w:val="hr-HR" w:eastAsia="hr-HR"/>
              </w:rPr>
            </w:pPr>
            <w:r w:rsidRPr="00700D1D">
              <w:rPr>
                <w:sz w:val="24"/>
                <w:szCs w:val="24"/>
                <w:lang w:val="hr-HR" w:eastAsia="hr-HR"/>
              </w:rPr>
              <w:t>Na temelju članka 86. stavka 3. Zakona o proračunu (Narodne novine, broj 144/21), članka 134. stavka 1. podstavka 10. Zakona o zaštiti prirode („Narodne novine", br. 80/13., 15/18., 14/19. i 127/19</w:t>
            </w:r>
            <w:r w:rsidR="008E13D8">
              <w:rPr>
                <w:sz w:val="24"/>
                <w:szCs w:val="24"/>
                <w:lang w:val="hr-HR" w:eastAsia="hr-HR"/>
              </w:rPr>
              <w:t>, 155/2023</w:t>
            </w:r>
            <w:r w:rsidRPr="00700D1D">
              <w:rPr>
                <w:sz w:val="24"/>
                <w:szCs w:val="24"/>
                <w:lang w:val="hr-HR" w:eastAsia="hr-HR"/>
              </w:rPr>
              <w:t>.), članka 14. stavka 1. podstavka 12. Statuta Javne ustanove "Nacionalni park Krka"</w:t>
            </w:r>
            <w:r w:rsidR="00E63BC4">
              <w:rPr>
                <w:sz w:val="24"/>
                <w:szCs w:val="24"/>
                <w:lang w:val="hr-HR" w:eastAsia="hr-HR"/>
              </w:rPr>
              <w:t>,</w:t>
            </w:r>
            <w:r w:rsidRPr="00700D1D">
              <w:rPr>
                <w:sz w:val="24"/>
                <w:szCs w:val="24"/>
                <w:lang w:val="hr-HR" w:eastAsia="hr-HR"/>
              </w:rPr>
              <w:t xml:space="preserve"> Upravno vijeće Javne ustanove "Nacionalni park Krka" je na </w:t>
            </w:r>
            <w:r w:rsidR="00760330">
              <w:rPr>
                <w:sz w:val="24"/>
                <w:szCs w:val="24"/>
                <w:lang w:val="hr-HR" w:eastAsia="hr-HR"/>
              </w:rPr>
              <w:t>13</w:t>
            </w:r>
            <w:r w:rsidRPr="00700D1D">
              <w:rPr>
                <w:sz w:val="24"/>
                <w:szCs w:val="24"/>
                <w:lang w:val="hr-HR" w:eastAsia="hr-HR"/>
              </w:rPr>
              <w:t xml:space="preserve">. e-sjednici održanoj dana </w:t>
            </w:r>
            <w:r w:rsidR="008E13D8">
              <w:rPr>
                <w:sz w:val="24"/>
                <w:szCs w:val="24"/>
                <w:lang w:val="hr-HR" w:eastAsia="hr-HR"/>
              </w:rPr>
              <w:t>30</w:t>
            </w:r>
            <w:r w:rsidRPr="00700D1D">
              <w:rPr>
                <w:sz w:val="24"/>
                <w:szCs w:val="24"/>
                <w:lang w:val="hr-HR" w:eastAsia="hr-HR"/>
              </w:rPr>
              <w:t xml:space="preserve">. </w:t>
            </w:r>
            <w:r w:rsidR="0040143F">
              <w:rPr>
                <w:sz w:val="24"/>
                <w:szCs w:val="24"/>
                <w:lang w:val="hr-HR" w:eastAsia="hr-HR"/>
              </w:rPr>
              <w:t>srpanj</w:t>
            </w:r>
            <w:r w:rsidRPr="00700D1D">
              <w:rPr>
                <w:sz w:val="24"/>
                <w:szCs w:val="24"/>
                <w:lang w:val="hr-HR" w:eastAsia="hr-HR"/>
              </w:rPr>
              <w:t xml:space="preserve"> 202</w:t>
            </w:r>
            <w:r w:rsidR="008E13D8">
              <w:rPr>
                <w:sz w:val="24"/>
                <w:szCs w:val="24"/>
                <w:lang w:val="hr-HR" w:eastAsia="hr-HR"/>
              </w:rPr>
              <w:t>5</w:t>
            </w:r>
            <w:r w:rsidRPr="00700D1D">
              <w:rPr>
                <w:sz w:val="24"/>
                <w:szCs w:val="24"/>
                <w:lang w:val="hr-HR" w:eastAsia="hr-HR"/>
              </w:rPr>
              <w:t xml:space="preserve">. godine donijelo Odluku o usvajanju </w:t>
            </w:r>
            <w:r>
              <w:rPr>
                <w:sz w:val="24"/>
                <w:szCs w:val="24"/>
                <w:lang w:val="hr-HR" w:eastAsia="hr-HR"/>
              </w:rPr>
              <w:t xml:space="preserve">Prijedloga </w:t>
            </w:r>
            <w:r w:rsidR="0040143F">
              <w:rPr>
                <w:sz w:val="24"/>
                <w:szCs w:val="24"/>
                <w:lang w:val="hr-HR" w:eastAsia="hr-HR"/>
              </w:rPr>
              <w:t>po</w:t>
            </w:r>
            <w:r w:rsidR="008E13D8">
              <w:rPr>
                <w:sz w:val="24"/>
                <w:szCs w:val="24"/>
                <w:lang w:val="hr-HR" w:eastAsia="hr-HR"/>
              </w:rPr>
              <w:t>lu</w:t>
            </w:r>
            <w:r w:rsidRPr="00700D1D">
              <w:rPr>
                <w:sz w:val="24"/>
                <w:szCs w:val="24"/>
                <w:lang w:val="hr-HR" w:eastAsia="hr-HR"/>
              </w:rPr>
              <w:t>godišnjeg izvještaja o izvršenju financijskog plana za 202</w:t>
            </w:r>
            <w:r w:rsidR="008E13D8">
              <w:rPr>
                <w:sz w:val="24"/>
                <w:szCs w:val="24"/>
                <w:lang w:val="hr-HR" w:eastAsia="hr-HR"/>
              </w:rPr>
              <w:t>5</w:t>
            </w:r>
            <w:r w:rsidRPr="00700D1D">
              <w:rPr>
                <w:sz w:val="24"/>
                <w:szCs w:val="24"/>
                <w:lang w:val="hr-HR" w:eastAsia="hr-HR"/>
              </w:rPr>
              <w:t>. godinu koji se nalazi u nastavku.</w:t>
            </w:r>
          </w:p>
          <w:p w14:paraId="79F1915F" w14:textId="77777777" w:rsidR="00700D1D" w:rsidRDefault="00700D1D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4362EA17" w14:textId="77777777" w:rsidR="00080F4E" w:rsidRDefault="00080F4E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44BB4281" w14:textId="77777777" w:rsidR="00080F4E" w:rsidRDefault="00080F4E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5EF33A02" w14:textId="77777777" w:rsidR="00007B78" w:rsidRDefault="00007B78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34055530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510584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I. OPĆI DIO</w:t>
            </w:r>
          </w:p>
        </w:tc>
      </w:tr>
      <w:tr w:rsidR="00007B78" w:rsidRPr="00007B78" w14:paraId="45DB4BE4" w14:textId="77777777" w:rsidTr="0067337D">
        <w:trPr>
          <w:gridAfter w:val="2"/>
          <w:wAfter w:w="709" w:type="dxa"/>
          <w:trHeight w:val="900"/>
        </w:trPr>
        <w:tc>
          <w:tcPr>
            <w:tcW w:w="1301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205F5" w14:textId="77777777" w:rsidR="00007B78" w:rsidRPr="00007B78" w:rsidRDefault="00007B78" w:rsidP="00007B7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007B78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SAŽETAK A. RAČUNA PRIHODA I RASHODA I B. RAČUNA FINANCIRANJA</w:t>
            </w:r>
          </w:p>
        </w:tc>
      </w:tr>
      <w:tr w:rsidR="00007B78" w:rsidRPr="00007B78" w14:paraId="632FF1A7" w14:textId="77777777" w:rsidTr="0067337D">
        <w:trPr>
          <w:gridAfter w:val="2"/>
          <w:wAfter w:w="709" w:type="dxa"/>
          <w:trHeight w:val="255"/>
        </w:trPr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B3309" w14:textId="77777777" w:rsidR="00007B78" w:rsidRPr="00007B78" w:rsidRDefault="00007B78" w:rsidP="00007B78">
            <w:pPr>
              <w:overflowPunct/>
              <w:autoSpaceDE/>
              <w:autoSpaceDN/>
              <w:adjustRightInd/>
              <w:spacing w:after="0"/>
              <w:ind w:firstLineChars="300" w:firstLine="6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007B7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SAŽETAK RAČUNA PRIHODA I RASHODA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1A581" w14:textId="77777777" w:rsidR="00007B78" w:rsidRPr="00007B78" w:rsidRDefault="00007B78" w:rsidP="00007B7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007B78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1969" w14:textId="77777777" w:rsidR="00007B78" w:rsidRPr="00007B78" w:rsidRDefault="00007B78" w:rsidP="00007B78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98ED" w14:textId="77777777" w:rsidR="00007B78" w:rsidRPr="00007B78" w:rsidRDefault="00007B78" w:rsidP="00007B7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9663" w14:textId="77777777" w:rsidR="00007B78" w:rsidRPr="00007B78" w:rsidRDefault="00007B78" w:rsidP="00007B7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2915" w14:textId="77777777" w:rsidR="00007B78" w:rsidRPr="00007B78" w:rsidRDefault="00007B78" w:rsidP="00007B78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67337D" w:rsidRPr="0067337D" w14:paraId="69772E4F" w14:textId="77777777" w:rsidTr="0067337D">
        <w:trPr>
          <w:trHeight w:val="870"/>
        </w:trPr>
        <w:tc>
          <w:tcPr>
            <w:tcW w:w="5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BA1950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0DFAD7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- 6. 2024.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00FCD8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IZVORNI PLAN     2025.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94DBA6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F5820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- 6. 2025.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8AE4C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INDEKS</w:t>
            </w:r>
          </w:p>
        </w:tc>
      </w:tr>
      <w:tr w:rsidR="0067337D" w:rsidRPr="0067337D" w14:paraId="356A8E2B" w14:textId="77777777" w:rsidTr="0067337D">
        <w:trPr>
          <w:trHeight w:val="225"/>
        </w:trPr>
        <w:tc>
          <w:tcPr>
            <w:tcW w:w="5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8774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390F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D2ED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AE98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D26A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082E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sz w:val="16"/>
                <w:szCs w:val="16"/>
                <w:lang w:val="hr-HR" w:eastAsia="hr-HR"/>
              </w:rPr>
              <w:t>6=5/4*100</w:t>
            </w:r>
          </w:p>
        </w:tc>
      </w:tr>
      <w:tr w:rsidR="0067337D" w:rsidRPr="0067337D" w14:paraId="5575C5D8" w14:textId="77777777" w:rsidTr="0067337D">
        <w:trPr>
          <w:trHeight w:val="375"/>
        </w:trPr>
        <w:tc>
          <w:tcPr>
            <w:tcW w:w="5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CCE9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DDE2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5.822.657,80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F741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21.866.637,00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4DFC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21.866.637,00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AD90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5.778.441,29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57AD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26,43</w:t>
            </w:r>
          </w:p>
        </w:tc>
      </w:tr>
      <w:tr w:rsidR="0067337D" w:rsidRPr="0067337D" w14:paraId="754ACA82" w14:textId="77777777" w:rsidTr="0067337D">
        <w:trPr>
          <w:trHeight w:val="375"/>
        </w:trPr>
        <w:tc>
          <w:tcPr>
            <w:tcW w:w="5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33DD7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 PRIHODI OD PRODAJE NEFINANCIJSKE IMOVINE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3EA9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B337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328B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CBF7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9A4F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6F2C9B03" w14:textId="77777777" w:rsidTr="0067337D">
        <w:trPr>
          <w:trHeight w:val="375"/>
        </w:trPr>
        <w:tc>
          <w:tcPr>
            <w:tcW w:w="5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147C63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UKUPNI PRIHODI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98B7EC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5.822.657,80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78C440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21.866.637,00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B19C9C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21.866.637,00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75EDB5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5.778.441,29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D108E3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26,43</w:t>
            </w:r>
          </w:p>
        </w:tc>
      </w:tr>
      <w:tr w:rsidR="0067337D" w:rsidRPr="0067337D" w14:paraId="7D45F4D6" w14:textId="77777777" w:rsidTr="0067337D">
        <w:trPr>
          <w:trHeight w:val="375"/>
        </w:trPr>
        <w:tc>
          <w:tcPr>
            <w:tcW w:w="5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3A36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13E4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6.365.803,03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EEDA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19.765.000,00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0F56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19.765.000,00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3CF1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6.816.971,93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D125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34,49</w:t>
            </w:r>
          </w:p>
        </w:tc>
      </w:tr>
      <w:tr w:rsidR="0067337D" w:rsidRPr="0067337D" w14:paraId="2B150815" w14:textId="77777777" w:rsidTr="0067337D">
        <w:trPr>
          <w:trHeight w:val="375"/>
        </w:trPr>
        <w:tc>
          <w:tcPr>
            <w:tcW w:w="5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EB66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815E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978.071,34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C6D2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3.015.000,00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5044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3.015.000,00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2FD9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1.363.895,37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6D70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45,24</w:t>
            </w:r>
          </w:p>
        </w:tc>
      </w:tr>
      <w:tr w:rsidR="0067337D" w:rsidRPr="0067337D" w14:paraId="6EAFC4D8" w14:textId="77777777" w:rsidTr="0067337D">
        <w:trPr>
          <w:trHeight w:val="375"/>
        </w:trPr>
        <w:tc>
          <w:tcPr>
            <w:tcW w:w="5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0E3D8D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UKUPNI RASHODI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003317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7.343.874,37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58E396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22.780.000,00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C3D696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22.780.000,00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B0182B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8.180.867,30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400685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35,91</w:t>
            </w:r>
          </w:p>
        </w:tc>
      </w:tr>
      <w:tr w:rsidR="0067337D" w:rsidRPr="0067337D" w14:paraId="4D69AB98" w14:textId="77777777" w:rsidTr="0067337D">
        <w:trPr>
          <w:trHeight w:val="375"/>
        </w:trPr>
        <w:tc>
          <w:tcPr>
            <w:tcW w:w="5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81F7A3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RAZLIKA - VIŠAK / MANJAK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AA18C6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-1.521.216,57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293B96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-913.363,00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83DC0C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-913.363,00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4184F0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-2.402.426,01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39CB21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263,03</w:t>
            </w:r>
          </w:p>
        </w:tc>
      </w:tr>
      <w:tr w:rsidR="0067337D" w:rsidRPr="0067337D" w14:paraId="0DC42458" w14:textId="77777777" w:rsidTr="0067337D">
        <w:trPr>
          <w:trHeight w:val="225"/>
        </w:trPr>
        <w:tc>
          <w:tcPr>
            <w:tcW w:w="5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8D4B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62D6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9957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82BD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755C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2E91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67337D" w:rsidRPr="0067337D" w14:paraId="3B1DA0BE" w14:textId="77777777" w:rsidTr="0067337D">
        <w:trPr>
          <w:trHeight w:val="225"/>
        </w:trPr>
        <w:tc>
          <w:tcPr>
            <w:tcW w:w="5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6D551" w14:textId="77777777" w:rsid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49848491" w14:textId="77777777" w:rsid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257DE6BA" w14:textId="77777777" w:rsid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7EFFF017" w14:textId="77777777" w:rsid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1E08443B" w14:textId="77777777" w:rsid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58F34DB9" w14:textId="77777777" w:rsid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11218BF2" w14:textId="77777777" w:rsid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  <w:p w14:paraId="38B2FE6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6F60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A773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C43A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D6E1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50FD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67337D" w:rsidRPr="0067337D" w14:paraId="521A5DBB" w14:textId="77777777" w:rsidTr="0067337D">
        <w:trPr>
          <w:trHeight w:val="263"/>
        </w:trPr>
        <w:tc>
          <w:tcPr>
            <w:tcW w:w="5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C799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300" w:firstLine="6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lastRenderedPageBreak/>
              <w:t>SAŽETAK RAČUNA FINANCIRANJA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20E5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C1F8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3542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0B75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61D2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67337D" w:rsidRPr="0067337D" w14:paraId="4EB69CA1" w14:textId="77777777" w:rsidTr="0067337D">
        <w:trPr>
          <w:trHeight w:val="225"/>
        </w:trPr>
        <w:tc>
          <w:tcPr>
            <w:tcW w:w="5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AA56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82B6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6A14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51E5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9E6B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5D98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67337D" w:rsidRPr="0067337D" w14:paraId="1B48FF6E" w14:textId="77777777" w:rsidTr="0067337D">
        <w:trPr>
          <w:trHeight w:val="870"/>
        </w:trPr>
        <w:tc>
          <w:tcPr>
            <w:tcW w:w="5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EA3BA1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A27940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- 6. 2023.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B675BF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IZVORNI PLAN     2024.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73FD0D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2024.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3BDE8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- 6. 2024.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1D609F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INDEKS</w:t>
            </w:r>
          </w:p>
        </w:tc>
      </w:tr>
      <w:tr w:rsidR="0067337D" w:rsidRPr="0067337D" w14:paraId="4FE62451" w14:textId="77777777" w:rsidTr="0067337D">
        <w:trPr>
          <w:trHeight w:val="225"/>
        </w:trPr>
        <w:tc>
          <w:tcPr>
            <w:tcW w:w="5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BE95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47CC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4095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7B5D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79B0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4002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sz w:val="16"/>
                <w:szCs w:val="16"/>
                <w:lang w:val="hr-HR" w:eastAsia="hr-HR"/>
              </w:rPr>
              <w:t>6=5/4*100</w:t>
            </w:r>
          </w:p>
        </w:tc>
      </w:tr>
      <w:tr w:rsidR="0067337D" w:rsidRPr="0067337D" w14:paraId="77011021" w14:textId="77777777" w:rsidTr="0067337D">
        <w:trPr>
          <w:trHeight w:val="375"/>
        </w:trPr>
        <w:tc>
          <w:tcPr>
            <w:tcW w:w="5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C1CF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PRIJENOS SREDSTAVA IZ PRETHODNE GODINE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F9B3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8.873.745,00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1D63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10.489.332,00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3919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10.489.332,00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400C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10.489.332,00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EA65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67337D" w:rsidRPr="0067337D" w14:paraId="289F4E67" w14:textId="77777777" w:rsidTr="0067337D">
        <w:trPr>
          <w:trHeight w:val="375"/>
        </w:trPr>
        <w:tc>
          <w:tcPr>
            <w:tcW w:w="5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4B3B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PRIJENOS SREDSTAVA U SLJEDEĆE RAZDOBLJE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FDC9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-7.352.528,43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E1D4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-9.575.969,00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58B1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-9.575.969,00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53BC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-8.086.905,99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3465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84,45</w:t>
            </w:r>
          </w:p>
        </w:tc>
      </w:tr>
      <w:tr w:rsidR="0067337D" w:rsidRPr="0067337D" w14:paraId="5366244C" w14:textId="77777777" w:rsidTr="0067337D">
        <w:trPr>
          <w:trHeight w:val="375"/>
        </w:trPr>
        <w:tc>
          <w:tcPr>
            <w:tcW w:w="5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28F9F9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NETO FINANCIRANJE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AE8F82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1.521.216,57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683F94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913.363,00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FFE3FB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913.363,00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7DEB75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2.402.426,01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2CE55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263,03</w:t>
            </w:r>
          </w:p>
        </w:tc>
      </w:tr>
      <w:tr w:rsidR="0067337D" w:rsidRPr="0067337D" w14:paraId="40741E36" w14:textId="77777777" w:rsidTr="0067337D">
        <w:trPr>
          <w:trHeight w:val="375"/>
        </w:trPr>
        <w:tc>
          <w:tcPr>
            <w:tcW w:w="54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B699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VIŠAK / MANJAK + NETO FINANCIRANJE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E10C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797F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D8C2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5F76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0F85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6514F524" w14:textId="77777777" w:rsidR="00007B78" w:rsidRDefault="00007B78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700D4216" w14:textId="77777777" w:rsidR="00007B78" w:rsidRDefault="00007B78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47AD484B" w14:textId="77777777" w:rsidR="00007B78" w:rsidRDefault="00007B78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5DBB3A4A" w14:textId="77777777" w:rsidR="00007B78" w:rsidRDefault="00007B78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72B808F0" w14:textId="77777777" w:rsidR="00007B78" w:rsidRDefault="00007B78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193BDA26" w14:textId="77777777" w:rsidR="00007B78" w:rsidRDefault="00007B78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282C9A21" w14:textId="77777777" w:rsidR="00007B78" w:rsidRDefault="00007B78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2ED7B13B" w14:textId="77777777" w:rsidR="0067337D" w:rsidRDefault="0067337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3CD88587" w14:textId="77777777" w:rsidR="0067337D" w:rsidRDefault="0067337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66DC8C5E" w14:textId="77777777" w:rsidR="00DC46D3" w:rsidRDefault="00DC46D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5221B1EA" w14:textId="77777777" w:rsidR="00007B78" w:rsidRDefault="00007B78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71B3343F" w14:textId="77777777" w:rsidR="00395EBF" w:rsidRDefault="00395EBF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tbl>
      <w:tblPr>
        <w:tblW w:w="15583" w:type="dxa"/>
        <w:tblLook w:val="04A0" w:firstRow="1" w:lastRow="0" w:firstColumn="1" w:lastColumn="0" w:noHBand="0" w:noVBand="1"/>
      </w:tblPr>
      <w:tblGrid>
        <w:gridCol w:w="6100"/>
        <w:gridCol w:w="1699"/>
        <w:gridCol w:w="1811"/>
        <w:gridCol w:w="1811"/>
        <w:gridCol w:w="1699"/>
        <w:gridCol w:w="1253"/>
        <w:gridCol w:w="1210"/>
      </w:tblGrid>
      <w:tr w:rsidR="0067337D" w:rsidRPr="0067337D" w14:paraId="1903B2B2" w14:textId="77777777" w:rsidTr="0067337D">
        <w:trPr>
          <w:trHeight w:val="660"/>
        </w:trPr>
        <w:tc>
          <w:tcPr>
            <w:tcW w:w="155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3ED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val="hr-HR" w:eastAsia="hr-HR"/>
              </w:rPr>
            </w:pPr>
            <w:bookmarkStart w:id="0" w:name="RANGE!A1:G125"/>
            <w:r w:rsidRPr="0067337D">
              <w:rPr>
                <w:rFonts w:ascii="Arial" w:hAnsi="Arial" w:cs="Arial"/>
                <w:b/>
                <w:bCs/>
                <w:sz w:val="24"/>
                <w:szCs w:val="24"/>
                <w:lang w:val="hr-HR" w:eastAsia="hr-HR"/>
              </w:rPr>
              <w:t>POLUGODIŠNJI IZVJEŠTAJ O IZVRŠENJU FINANCIJSKOG PLANA                                                                                                                                                                          JAVNE USTANOVE "NACIONALNI PARK KRKA" ZA 2025. GODINU</w:t>
            </w:r>
            <w:bookmarkEnd w:id="0"/>
          </w:p>
        </w:tc>
      </w:tr>
      <w:tr w:rsidR="0067337D" w:rsidRPr="0067337D" w14:paraId="44CBE89E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226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2ED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1BB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100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B11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423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C11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67337D" w:rsidRPr="0067337D" w14:paraId="0A4D42C2" w14:textId="77777777" w:rsidTr="0067337D">
        <w:trPr>
          <w:trHeight w:val="278"/>
        </w:trPr>
        <w:tc>
          <w:tcPr>
            <w:tcW w:w="155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D2C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I. OPĆI DIO</w:t>
            </w:r>
          </w:p>
        </w:tc>
      </w:tr>
      <w:tr w:rsidR="0067337D" w:rsidRPr="0067337D" w14:paraId="0AA5A953" w14:textId="77777777" w:rsidTr="0067337D">
        <w:trPr>
          <w:trHeight w:val="660"/>
        </w:trPr>
        <w:tc>
          <w:tcPr>
            <w:tcW w:w="155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6BDA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A. RAČUN PRIHODA I RASHODA</w:t>
            </w:r>
          </w:p>
        </w:tc>
      </w:tr>
      <w:tr w:rsidR="0067337D" w:rsidRPr="0067337D" w14:paraId="0BD447F5" w14:textId="77777777" w:rsidTr="0067337D">
        <w:trPr>
          <w:trHeight w:val="278"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94D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A1. IZVJEŠTAJ O PRIHODIMA I RASHODIMA PREMA EKONOMSKOJ KLASIFIKACIJI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E51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1C7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BFC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C24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67337D" w:rsidRPr="0067337D" w14:paraId="719E7894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48E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FFD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7B2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838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59B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7CA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994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67337D" w:rsidRPr="0067337D" w14:paraId="7F341C47" w14:textId="77777777" w:rsidTr="0067337D">
        <w:trPr>
          <w:trHeight w:val="801"/>
        </w:trPr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784AC6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7D7590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- 6.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7EC79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IZVORNI PLAN     2025.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9BCD81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BA75B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- 6. 2025.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43EB3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INDEKS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0A46E9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67337D" w:rsidRPr="0067337D" w14:paraId="7F5C7165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DC62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8AC4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EF6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1790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C818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28B5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6=5/2*100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33E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7=5/4*100</w:t>
            </w:r>
          </w:p>
        </w:tc>
      </w:tr>
      <w:tr w:rsidR="0067337D" w:rsidRPr="0067337D" w14:paraId="16A86010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877245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PRIHODI PREMA EKONOMSKOJ KLASIFIKACIJI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DBA89D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5.822.657,80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847656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21.866.637,00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093DB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21.866.637,00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B924D0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5.778.441,29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6A20FC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99,24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24470C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26,43</w:t>
            </w:r>
          </w:p>
        </w:tc>
      </w:tr>
      <w:tr w:rsidR="0067337D" w:rsidRPr="0067337D" w14:paraId="4592C5E5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479F56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5C7FB4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5.822.657,80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3FFDFF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21.866.637,00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A3F9BE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21.866.637,00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54E092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5.778.441,29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DC2C5A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99,24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425B4B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26,43</w:t>
            </w:r>
          </w:p>
        </w:tc>
      </w:tr>
      <w:tr w:rsidR="0067337D" w:rsidRPr="0067337D" w14:paraId="19096799" w14:textId="77777777" w:rsidTr="0067337D">
        <w:trPr>
          <w:trHeight w:val="52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EADD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1090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297.389,53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3E9D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DF17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756.637,00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4087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14.230,80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6831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4,79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007D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1,88</w:t>
            </w:r>
          </w:p>
        </w:tc>
      </w:tr>
      <w:tr w:rsidR="0067337D" w:rsidRPr="0067337D" w14:paraId="7F27F80E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81DA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6323 Tekuće pomoći od institucija i tijela EU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705B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31.275,83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3C44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CCBF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A11E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14.230,80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DD42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45,50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2064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6EE43B93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4339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6324 Kapitalne pomoći od institucija i tijela EU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CD1B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54.751,70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5745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C8C1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806F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FCE5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C3B8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6DA044A7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E63B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6341 Tekuće pomoći od izvanproračunskih korisnika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48AA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7BEF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71B6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3CF7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A917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AA95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1771DF7C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69BC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6342 Kapitalne pomoći od izvanproračunskih korisnika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2E45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F405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415C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5759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E434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7F7F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233C0F6A" w14:textId="77777777" w:rsidTr="0067337D">
        <w:trPr>
          <w:trHeight w:val="524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7567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6391 Tekući prijenosi između proračunskih korisnika istog proračuna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CD27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32B2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41.361,00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A22E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41.361,00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994D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FDA4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62F2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</w:tr>
      <w:tr w:rsidR="0067337D" w:rsidRPr="0067337D" w14:paraId="2F2B21D1" w14:textId="77777777" w:rsidTr="0067337D">
        <w:trPr>
          <w:trHeight w:val="524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80EF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6393 Tekući prijenosi između proračunskih korisnika istog proračuna temeljem prijenosa EU sredstava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372D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211.362,00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ABDF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115.276,00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758B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115.276,00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455F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23EE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3951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03CF9868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D2AF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5152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7.103,26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8419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93D4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1D86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8.630,47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836B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121,50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907D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10,79</w:t>
            </w:r>
          </w:p>
        </w:tc>
      </w:tr>
      <w:tr w:rsidR="0067337D" w:rsidRPr="0067337D" w14:paraId="675E2A21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68F9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6413 Kamate na oročena sredstva i depozite po viđenju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E99F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4C4D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F289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6130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6023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0A53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4DCC3DB3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3325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6414 Prihodi od zateznih kamata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E30B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2.111,35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F5D1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2B37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C998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8.630,47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B999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408,77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FA29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24,66</w:t>
            </w:r>
          </w:p>
        </w:tc>
      </w:tr>
      <w:tr w:rsidR="0067337D" w:rsidRPr="0067337D" w14:paraId="5E194DE5" w14:textId="77777777" w:rsidTr="0067337D">
        <w:trPr>
          <w:trHeight w:val="51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7D3D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6415 Prihodi od pozitivnih tečajnih razlika i razlika zbog primjene valutne klauzule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6DAD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5332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7637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F840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9CCE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770A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66E558D0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E2FD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6416 Prihodi od dividendi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F442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4.991,91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619E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BAFC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3EB2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1A41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0ED8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5C63A9B6" w14:textId="77777777" w:rsidTr="0067337D">
        <w:trPr>
          <w:trHeight w:val="52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D1EA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E70A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5.259.552,08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5353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20.005.000,00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6C0A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20.005.000,00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928A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5.435.102,27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83BD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103,34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BBBE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27,17</w:t>
            </w:r>
          </w:p>
        </w:tc>
      </w:tr>
      <w:tr w:rsidR="0067337D" w:rsidRPr="0067337D" w14:paraId="6C94D652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2986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lastRenderedPageBreak/>
              <w:t>6526 Ostali nespomenuti prihodi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EDB0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5.259.552,08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65DF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F70D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8FD7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5.435.102,27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F8BE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103,34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6EB1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27,17</w:t>
            </w:r>
          </w:p>
        </w:tc>
      </w:tr>
      <w:tr w:rsidR="0067337D" w:rsidRPr="0067337D" w14:paraId="2F222765" w14:textId="77777777" w:rsidTr="0067337D">
        <w:trPr>
          <w:trHeight w:val="52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EFE4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CBDD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253.868,15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B736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6831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FF94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318.311,70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BC0A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125,38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BDEE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35,37</w:t>
            </w:r>
          </w:p>
        </w:tc>
      </w:tr>
      <w:tr w:rsidR="0067337D" w:rsidRPr="0067337D" w14:paraId="24D30460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E165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6614 Prihodi od prodaje proizvoda i robe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D1BB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72.382,31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C45B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A82D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9A54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88.406,60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7743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122,14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1EB0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35,36</w:t>
            </w:r>
          </w:p>
        </w:tc>
      </w:tr>
      <w:tr w:rsidR="0067337D" w:rsidRPr="0067337D" w14:paraId="12E131BA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BA89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6615 Prihodi od pruženih usluga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0BC1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181.485,84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DBB5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9D14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E594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229.905,10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2B88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126,68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DE97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35,37</w:t>
            </w:r>
          </w:p>
        </w:tc>
      </w:tr>
      <w:tr w:rsidR="0067337D" w:rsidRPr="0067337D" w14:paraId="69203D5F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D5D5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6631 Tekuće donacije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302B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AEE3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2348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6433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D477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C2F5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005CD84D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F449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68 Kazne, upravne mjere i ostali prihodi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7685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4.744,78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9B0E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3B68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125.000,00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F210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2.166,05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1FED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45,65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AC2B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1,73</w:t>
            </w:r>
          </w:p>
        </w:tc>
      </w:tr>
      <w:tr w:rsidR="0067337D" w:rsidRPr="0067337D" w14:paraId="62E4A6E1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2B21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6831 Ostali prihodi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6744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4.744,78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75C7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2E2E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7E41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2.166,05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6A32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45,65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E8DD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1,73</w:t>
            </w:r>
          </w:p>
        </w:tc>
      </w:tr>
      <w:tr w:rsidR="0067337D" w:rsidRPr="0067337D" w14:paraId="63B2D8B9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8E2F8E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67337D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367396B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67337D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B6A2B2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67337D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3051E0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67337D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65DBD3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67337D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531F76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67337D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ECE8F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67337D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67337D" w:rsidRPr="0067337D" w14:paraId="40D0B339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F310E7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PREMA EKONOMSKOJ KLASIFIKACIJI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805D71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7.343.874,37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3191C4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55E3C3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22.780.000,00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B39BA5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8.180.867,30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0AE6EB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111,40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ED9B3B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35,91</w:t>
            </w:r>
          </w:p>
        </w:tc>
      </w:tr>
      <w:tr w:rsidR="0067337D" w:rsidRPr="0067337D" w14:paraId="0BADBB48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178700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46F23C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6.365.803,03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6BC2B3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19.765.000,00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BD3818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19.765.000,00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C1BEA2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6.816.971,93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5F2040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107,09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090523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34,49</w:t>
            </w:r>
          </w:p>
        </w:tc>
      </w:tr>
      <w:tr w:rsidR="0067337D" w:rsidRPr="0067337D" w14:paraId="2B15523B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6635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DE48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4.830.068,52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627A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10.460.000,00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B11A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10.460.000,00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FDB3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4.858.628,93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9169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100,59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430E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46,45</w:t>
            </w:r>
          </w:p>
        </w:tc>
      </w:tr>
      <w:tr w:rsidR="0067337D" w:rsidRPr="0067337D" w14:paraId="0D3AEA5E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00776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3111 Plaće za redovan rad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084D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3.787.711,70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482A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7.900.000,00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5C92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7.900.000,00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3319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3.896.314,57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245D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102,87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D6C9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49,32</w:t>
            </w:r>
          </w:p>
        </w:tc>
      </w:tr>
      <w:tr w:rsidR="0067337D" w:rsidRPr="0067337D" w14:paraId="2F0CF7B1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3DDD0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3112 Plaće u naravi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46CC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E842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FE4C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819E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79A6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C0EB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02853942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87152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3121 Ostali rashodi za zaposlene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3101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408.108,50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D58E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7D31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1.200.000,00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9A59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311.189,89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19CD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76,25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9E28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25,93</w:t>
            </w:r>
          </w:p>
        </w:tc>
      </w:tr>
      <w:tr w:rsidR="0067337D" w:rsidRPr="0067337D" w14:paraId="59FA501D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F23A0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3132 Doprinosi za obvezno zdravstveno osiguranje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8AFA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634.248,32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68DD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CC04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1.300.000,00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96D1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651.124,47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9CFA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102,66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05FD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50,09</w:t>
            </w:r>
          </w:p>
        </w:tc>
      </w:tr>
      <w:tr w:rsidR="0067337D" w:rsidRPr="0067337D" w14:paraId="20F6A065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E0568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46BC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1.519.181,87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6CEE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6.730.000,00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CADE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6.730.000,00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7D73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1.909.779,18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885F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125,71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9246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28,38</w:t>
            </w:r>
          </w:p>
        </w:tc>
      </w:tr>
      <w:tr w:rsidR="0067337D" w:rsidRPr="0067337D" w14:paraId="0871EA15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40AD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3211 Službena putovanja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0FD9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70.669,62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DBD7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A1A7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110.000,00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6A68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70.695,56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EFAE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B7D4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64,27</w:t>
            </w:r>
          </w:p>
        </w:tc>
      </w:tr>
      <w:tr w:rsidR="0067337D" w:rsidRPr="0067337D" w14:paraId="505877EE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2DE0A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3212 Naknade za prijevoz, za rad na terenu i odvojeni život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022E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101.013,22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81FF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FCA2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A4E0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93.906,13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0F81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92,96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9E94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37,56</w:t>
            </w:r>
          </w:p>
        </w:tc>
      </w:tr>
      <w:tr w:rsidR="0067337D" w:rsidRPr="0067337D" w14:paraId="463AE527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FDC59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3213 Stručno usavršavanje zaposlenika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233C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5.203,60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9584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D30E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8F65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9.472,85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F2FD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182,04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B027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18,95</w:t>
            </w:r>
          </w:p>
        </w:tc>
      </w:tr>
      <w:tr w:rsidR="0067337D" w:rsidRPr="0067337D" w14:paraId="2F9E89F3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5D30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3214 Ostale naknade troškova zaposlenima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E50F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428B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7F7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53FB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AEAC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DF28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1A94C38D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1F05B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3221 Uredski materijal i ostali materijalni rashodi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C3B6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27.184,98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F3E6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AA00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9405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29.965,64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6651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110,23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0ACD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24,97</w:t>
            </w:r>
          </w:p>
        </w:tc>
      </w:tr>
      <w:tr w:rsidR="0067337D" w:rsidRPr="0067337D" w14:paraId="072A4E40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1EB83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3222 Materijal i sirovine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DCE1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8.076,99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8972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BBFF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FFF7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5.991,96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8031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74,19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B968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2,40</w:t>
            </w:r>
          </w:p>
        </w:tc>
      </w:tr>
      <w:tr w:rsidR="0067337D" w:rsidRPr="0067337D" w14:paraId="6651D8BA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08B03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3223 Energija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DD67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89.407,33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9B05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F691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EEBD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107.601,28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9C30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120,35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C11C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26,90</w:t>
            </w:r>
          </w:p>
        </w:tc>
      </w:tr>
      <w:tr w:rsidR="0067337D" w:rsidRPr="0067337D" w14:paraId="6F6B5CE9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F4399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3224 Materijal i dijelovi za tekuće i investicijsko održavanje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1ACB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51.495,04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BF37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840B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6E16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43.698,01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2061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84,86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123E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29,13</w:t>
            </w:r>
          </w:p>
        </w:tc>
      </w:tr>
      <w:tr w:rsidR="0067337D" w:rsidRPr="0067337D" w14:paraId="66A1F64A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84A7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3225 Sitni inventar i auto gume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E556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7.937,40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E5E6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777B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7B3F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22.658,60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EFAF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285,47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DDA0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28,32</w:t>
            </w:r>
          </w:p>
        </w:tc>
      </w:tr>
      <w:tr w:rsidR="0067337D" w:rsidRPr="0067337D" w14:paraId="5A50E1EE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72541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3227 Službena, radna i zaštitna odjeća i obuća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1D79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149.140,09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7B96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09B8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C691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70.151,76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823F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47,04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7C22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28,06</w:t>
            </w:r>
          </w:p>
        </w:tc>
      </w:tr>
      <w:tr w:rsidR="0067337D" w:rsidRPr="0067337D" w14:paraId="43C3E1CB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F8606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3231 Usluge telefona, pošte i prijevoza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6E2F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93.055,24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E540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A8E2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1.400.000,00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B259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148.992,49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DBBA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160,11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5503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10,64</w:t>
            </w:r>
          </w:p>
        </w:tc>
      </w:tr>
      <w:tr w:rsidR="0067337D" w:rsidRPr="0067337D" w14:paraId="300DF5B5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B9F3F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3232 Usluge tekućeg i investicijskog održavanja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17F6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224.360,92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0A9F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560F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1.100.000,00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6B83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486.269,31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58B1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216,74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6CAC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44,21</w:t>
            </w:r>
          </w:p>
        </w:tc>
      </w:tr>
      <w:tr w:rsidR="0067337D" w:rsidRPr="0067337D" w14:paraId="4F6362A3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97EA4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3233 Usluge promidžbe i informiranja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2C71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128.216,96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C5A0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7945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3A65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166.276,91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19A1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129,68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25F6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41,57</w:t>
            </w:r>
          </w:p>
        </w:tc>
      </w:tr>
      <w:tr w:rsidR="0067337D" w:rsidRPr="0067337D" w14:paraId="3AEBAD65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CBEE1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3234 Komunalne usluge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9D14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34.837,70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D8FD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4142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60F5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41.042,85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710B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117,81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80BD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27,36</w:t>
            </w:r>
          </w:p>
        </w:tc>
      </w:tr>
      <w:tr w:rsidR="0067337D" w:rsidRPr="0067337D" w14:paraId="090AE0A3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67D78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3235 Zakupnine i najamnine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5309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126.562,31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5C7C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DFCA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35B7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140.796,83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84C7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111,25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ACE5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46,93</w:t>
            </w:r>
          </w:p>
        </w:tc>
      </w:tr>
      <w:tr w:rsidR="0067337D" w:rsidRPr="0067337D" w14:paraId="095A98A0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58787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3236 Zdravstvene i veterinarske usluge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1A63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999,20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1C4E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A9C3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7D7D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9.842,12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F9E9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985,00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3874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49,21</w:t>
            </w:r>
          </w:p>
        </w:tc>
      </w:tr>
      <w:tr w:rsidR="0067337D" w:rsidRPr="0067337D" w14:paraId="3D35BBBD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9DEB1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3237 Intelektualne i osobne usluge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FED2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104.594,41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AB6E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6C64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18B6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173.735,19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DC0B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166,10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60AB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28,96</w:t>
            </w:r>
          </w:p>
        </w:tc>
      </w:tr>
      <w:tr w:rsidR="0067337D" w:rsidRPr="0067337D" w14:paraId="7B8EF65C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70106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lastRenderedPageBreak/>
              <w:t>3238 Računalne usluge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2625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71.864,39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26C8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B671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EBF9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48.314,10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8BC5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67,23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EA0E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24,16</w:t>
            </w:r>
          </w:p>
        </w:tc>
      </w:tr>
      <w:tr w:rsidR="0067337D" w:rsidRPr="0067337D" w14:paraId="0E343CC8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8E15B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3239 Ostale usluge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3F5B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86.727,72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5EDA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A214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AF72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109.220,33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7AD7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125,93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7820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27,31</w:t>
            </w:r>
          </w:p>
        </w:tc>
      </w:tr>
      <w:tr w:rsidR="0067337D" w:rsidRPr="0067337D" w14:paraId="4E62247D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C904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3241 Naknade troškova osobama izvan radnog odnosa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7186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255,61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F2A5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9058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6F54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C57F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7A14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0E3948DB" w14:textId="77777777" w:rsidTr="0067337D">
        <w:trPr>
          <w:trHeight w:val="51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E9C2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3291 Naknade za rad predstavničkih i izvršnih tijela, povjerenstava i slično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8C48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6.712,68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94D4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5B68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7C21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6.521,12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EBC6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97,15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ED4E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21,74</w:t>
            </w:r>
          </w:p>
        </w:tc>
      </w:tr>
      <w:tr w:rsidR="0067337D" w:rsidRPr="0067337D" w14:paraId="6F566565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ACA4D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3292 Premije osiguranja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DB20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61.339,71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3F7D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87EA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07ED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51.477,01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E458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83,92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E6D5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51,48</w:t>
            </w:r>
          </w:p>
        </w:tc>
      </w:tr>
      <w:tr w:rsidR="0067337D" w:rsidRPr="0067337D" w14:paraId="00B7C1BA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7CC10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3293 Reprezentacija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56A8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11.651,79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4A01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EBDD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6BEE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25.561,15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546F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219,38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FE59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21,30</w:t>
            </w:r>
          </w:p>
        </w:tc>
      </w:tr>
      <w:tr w:rsidR="0067337D" w:rsidRPr="0067337D" w14:paraId="79FE8A62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8FB75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3294 Članarine i norme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8617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3.736,53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0CD3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CAB9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0859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1.739,58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0FC3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46,56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8C37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8,70</w:t>
            </w:r>
          </w:p>
        </w:tc>
      </w:tr>
      <w:tr w:rsidR="0067337D" w:rsidRPr="0067337D" w14:paraId="4CDB8D16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0FC49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3295 Pristojbe i naknade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6B45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51.238,65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170B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E8AD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0B93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39.715,93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E307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77,51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756D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39,72</w:t>
            </w:r>
          </w:p>
        </w:tc>
      </w:tr>
      <w:tr w:rsidR="0067337D" w:rsidRPr="0067337D" w14:paraId="625B3AF0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C05F2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3296 Troškovi sudskih postupaka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E628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703,82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6EAA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5BEA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FAAF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5.882,47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DA1B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1ABD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29,41</w:t>
            </w:r>
          </w:p>
        </w:tc>
      </w:tr>
      <w:tr w:rsidR="0067337D" w:rsidRPr="0067337D" w14:paraId="0C6C62EA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F0FA7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3299 Ostali nespomenuti rashodi poslovanja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60CB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2.195,96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3702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2323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CCAE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1143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11,38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0D44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0,50</w:t>
            </w:r>
          </w:p>
        </w:tc>
      </w:tr>
      <w:tr w:rsidR="0067337D" w:rsidRPr="0067337D" w14:paraId="341BBC2F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1B6A8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34 Financijski rashodi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357E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6.190,54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FE0A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964D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D881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25.413,88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A7C8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410,53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797E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12,10</w:t>
            </w:r>
          </w:p>
        </w:tc>
      </w:tr>
      <w:tr w:rsidR="0067337D" w:rsidRPr="0067337D" w14:paraId="0131D7D4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0F185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3431 Bankarske usluge i usluge platnog prometa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57D1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4.778,82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D0A7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73DA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572B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8.382,23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E5C5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175,40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8BC7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16,76</w:t>
            </w:r>
          </w:p>
        </w:tc>
      </w:tr>
      <w:tr w:rsidR="0067337D" w:rsidRPr="0067337D" w14:paraId="6F2EACC3" w14:textId="77777777" w:rsidTr="0067337D">
        <w:trPr>
          <w:trHeight w:val="51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189E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3432 Negativne tečajne razlike i razlike zbog primjene valutne klauzule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441F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1,86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4ADA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5B2B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6A77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28F6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3B40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61868793" w14:textId="77777777" w:rsidTr="0067337D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A6997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3433 Zatezne kamate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A685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1.004,15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179B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65BF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2AC2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17.031,65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25DE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1696,13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A5B8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212,90</w:t>
            </w:r>
          </w:p>
        </w:tc>
      </w:tr>
      <w:tr w:rsidR="0067337D" w:rsidRPr="0067337D" w14:paraId="78A9388F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0BEAA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3434 Ostali nespomenuti financijski rashodi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67AE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405,71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61FD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0C00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340C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8FEA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DA61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0E700B75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EBCA5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36 Pomoći dane u inozemstvo i unutar općeg proračuna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E90A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10.362,10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0F63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2.065.000,00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3879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2.065.000,00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6326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8.498,16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8853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82,01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C5D9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0,41</w:t>
            </w:r>
          </w:p>
        </w:tc>
      </w:tr>
      <w:tr w:rsidR="0067337D" w:rsidRPr="0067337D" w14:paraId="031DF5B7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743CA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3631 Tekuće pomoći unutar općeg proračuna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6BE0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4448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65EF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1.300.000,00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5F4E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0631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#DIV/0!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511F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1E07078C" w14:textId="77777777" w:rsidTr="0067337D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68129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3632 Kapitalne pomoći unutar općeg proračuna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D418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6FA3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A99C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93F4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E640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078C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763C3253" w14:textId="77777777" w:rsidTr="0067337D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B94CB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3661 Tekuće pomoći proračunskim korisnicima drugih proračuna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1E86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6.636,14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E311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DAEC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79C7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6.636,14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AE28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1A96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3684064F" w14:textId="77777777" w:rsidTr="0067337D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6381A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3662 Kapitalne pomoći proračunskim korisnicima drugih proračuna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0D17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14D5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13E3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D0A5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197B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5727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625B5263" w14:textId="77777777" w:rsidTr="0067337D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F2D37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3691 Tekući prijenosi između proračunskih korisnika istog proračuna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6B8F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3.725,96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1F16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71D4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B790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1.862,02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FA10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1FB1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0,27</w:t>
            </w:r>
          </w:p>
        </w:tc>
      </w:tr>
      <w:tr w:rsidR="0067337D" w:rsidRPr="0067337D" w14:paraId="55787A3C" w14:textId="77777777" w:rsidTr="0067337D">
        <w:trPr>
          <w:trHeight w:val="525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748B6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5271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A79E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42C4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3559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76BB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CB1A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#DIV/0!</w:t>
            </w:r>
          </w:p>
        </w:tc>
      </w:tr>
      <w:tr w:rsidR="0067337D" w:rsidRPr="0067337D" w14:paraId="18CE4429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F6217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3721 Naknade građanima i kućanstvima u novcu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ED1F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7EC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E3DA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12E8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3B81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AB85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6D23C8F9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19A3F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38 Ostali rashodi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4617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B320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AE15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3227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14.651,78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F007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25E2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4,88</w:t>
            </w:r>
          </w:p>
        </w:tc>
      </w:tr>
      <w:tr w:rsidR="0067337D" w:rsidRPr="0067337D" w14:paraId="5318A3CF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E1F67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3811 Tekuće donacije u novcu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9E0F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84F7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DDCC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C8A6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55FE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D621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3F32ABFA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51106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3831 Naknade šteta pravnim i fizičkim osobama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FB90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9370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FDA7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CA41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14.651,78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F6A7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4DB0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14,65</w:t>
            </w:r>
          </w:p>
        </w:tc>
      </w:tr>
      <w:tr w:rsidR="0067337D" w:rsidRPr="0067337D" w14:paraId="7963B6B1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FC5DE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3834 Ugovorne kazne i ostale naknade šteta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B36B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EF57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C31D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1144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45F8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0C50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3234179F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0164AEF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E9A288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978.071,34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B10BBB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3.015.000,00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BFE8BE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3.015.000,00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F49D71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1.363.895,37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ECC58D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139,45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0798D7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45,24</w:t>
            </w:r>
          </w:p>
        </w:tc>
      </w:tr>
      <w:tr w:rsidR="0067337D" w:rsidRPr="0067337D" w14:paraId="5066A520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7AF40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 xml:space="preserve">41 Rashodi za nabavu </w:t>
            </w:r>
            <w:proofErr w:type="spellStart"/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neproizvedene</w:t>
            </w:r>
            <w:proofErr w:type="spellEnd"/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 xml:space="preserve"> dugotrajne imovine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F512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113.608,28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0A3FD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08F0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AAFC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463.439,14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5D7F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407,93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A9F1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54,52</w:t>
            </w:r>
          </w:p>
        </w:tc>
      </w:tr>
      <w:tr w:rsidR="0067337D" w:rsidRPr="0067337D" w14:paraId="5F8EB453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D9A00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4111 Zemljište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E145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F7D5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73DE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DB61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F193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67DA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35040F09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8B36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lastRenderedPageBreak/>
              <w:t>4123 Licence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6B1A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9776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7AB9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FEBD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2.721,60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7ABB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2604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5,44</w:t>
            </w:r>
          </w:p>
        </w:tc>
      </w:tr>
      <w:tr w:rsidR="0067337D" w:rsidRPr="0067337D" w14:paraId="4B72B562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1892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4124 Ostala prava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8C3C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113.608,28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AFB1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E6BE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D732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460.717,54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66B0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405,53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5455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76,79</w:t>
            </w:r>
          </w:p>
        </w:tc>
      </w:tr>
      <w:tr w:rsidR="0067337D" w:rsidRPr="0067337D" w14:paraId="5F03219A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A55E1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4124 Ostala nematerijalna imovina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6C0D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0CBF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D0CE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5F6A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3551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4C5C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04FA13C6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2CFC6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B744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193.137,20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97DF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1.815.000,00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3792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1.815.000,00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C8F8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870.265,00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A581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450,59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2AA3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47,95</w:t>
            </w:r>
          </w:p>
        </w:tc>
      </w:tr>
      <w:tr w:rsidR="0067337D" w:rsidRPr="0067337D" w14:paraId="40809AB0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D5412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4212 Poslovni objekti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19E8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AA83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2ED8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E9DA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2A1B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32DC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5E046346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BB38E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4213 Ceste, željeznice i ostali  prometni objekti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24C5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739F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861F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356B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35CD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E59B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335C826C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614B3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4214 Ostali građevinski objekti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EA40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7FC8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FD2A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079F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2.787,18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43F9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#DIV/0!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8608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1,86</w:t>
            </w:r>
          </w:p>
        </w:tc>
      </w:tr>
      <w:tr w:rsidR="0067337D" w:rsidRPr="0067337D" w14:paraId="3C50BACC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044AF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4221 Uredska oprema i namještaj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BD3F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16.680,20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0AC6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2282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A75D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182.329,53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7C2F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1093,09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FACB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121,55</w:t>
            </w:r>
          </w:p>
        </w:tc>
      </w:tr>
      <w:tr w:rsidR="0067337D" w:rsidRPr="0067337D" w14:paraId="1A4DC0E2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AFC4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4222 Komunikacijska oprema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DE7C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23E1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4334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FCC2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880,00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72E0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DE88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1,76</w:t>
            </w:r>
          </w:p>
        </w:tc>
      </w:tr>
      <w:tr w:rsidR="0067337D" w:rsidRPr="0067337D" w14:paraId="1CC1D75A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ED690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4223 Oprema za održavanje i zaštitu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323F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11.225,57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755D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582F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DC70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1.279,28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8F8B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11,40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B301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1,07</w:t>
            </w:r>
          </w:p>
        </w:tc>
      </w:tr>
      <w:tr w:rsidR="0067337D" w:rsidRPr="0067337D" w14:paraId="47625D3C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6F531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4224 Medicinska i laboratorijska oprema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45AF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1E6D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1490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B6E9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EFAB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5001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440B46A0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9FAB9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4225 Instrumenti, uređaji i strojevi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60C0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1.919,20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767E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9746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2DCA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7883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2BEB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44DEFE57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A1414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4226 Sportska i glazbena oprema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2939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3F9D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58B7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461E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D60B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43F5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4AFD1439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D034A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4227 Uređaji, strojevi i oprema za ostale namjene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1F8B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15.798,62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E4CF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C193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1341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92.865,77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93F8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587,81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64B8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185,73</w:t>
            </w:r>
          </w:p>
        </w:tc>
      </w:tr>
      <w:tr w:rsidR="0067337D" w:rsidRPr="0067337D" w14:paraId="54FE5366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FDAAF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4231 Prijevozna sredstva u cestovnom prometu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3D06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E7B4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185.000,00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CECD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185.000,00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628C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130.774,47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82BB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#DIV/0!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122B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70,69</w:t>
            </w:r>
          </w:p>
        </w:tc>
      </w:tr>
      <w:tr w:rsidR="0067337D" w:rsidRPr="0067337D" w14:paraId="7E9D3FCE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D2465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4233 Prijevozna sredstva u pomorskom i riječnom prometu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28DF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C31D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FDB8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63B5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108.900,00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E416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#DIV/0!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0085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36,30</w:t>
            </w:r>
          </w:p>
        </w:tc>
      </w:tr>
      <w:tr w:rsidR="0067337D" w:rsidRPr="0067337D" w14:paraId="789ACD93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A5BD3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4241 Knjige u knjižnicama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9D3A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9AFA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512A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9813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EC7B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07BD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70761D73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CD79A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4242 Umjetnička djela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0382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73D7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E878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30D5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338F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C3EE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71CD82B7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54B67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4244 Ostale nespomenute izložbene vrijednosti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7FC0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C261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EAEE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9A11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8.000,00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7191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#DIV/0!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AB13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8,00</w:t>
            </w:r>
          </w:p>
        </w:tc>
      </w:tr>
      <w:tr w:rsidR="0067337D" w:rsidRPr="0067337D" w14:paraId="048F88E5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1C8A5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4262 Ulaganja u računalne programe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4CA3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94.896,82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E248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D122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D852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254.938,07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B25F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BDF3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254,94</w:t>
            </w:r>
          </w:p>
        </w:tc>
      </w:tr>
      <w:tr w:rsidR="0067337D" w:rsidRPr="0067337D" w14:paraId="1F614EE0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35DF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4263 Umjetnička, literarna i znanstvena djela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9472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B0B9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78B4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6CED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A538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3C6E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20FBAAD3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1BB67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4262 Ostala nematerijalna proizvedena imovina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51F2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51.816,79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8B5C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20C8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849B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87.510,70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1298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168,88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217E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43,76</w:t>
            </w:r>
          </w:p>
        </w:tc>
      </w:tr>
      <w:tr w:rsidR="0067337D" w:rsidRPr="0067337D" w14:paraId="5AA38A48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D5133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45 Rashodi za dodatna ulaganja na nefinancijskoj imovini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F893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671.325,86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FC14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5658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5BFF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30.191,23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3511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4,50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A935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8,63</w:t>
            </w:r>
          </w:p>
        </w:tc>
      </w:tr>
      <w:tr w:rsidR="0067337D" w:rsidRPr="0067337D" w14:paraId="456B3ECB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FCDAF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4511 Dodatna ulaganja na građevinskim objektima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9751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559.337,02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E167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710A5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71C3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29.490,00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1B3E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5,27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EB96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19,66</w:t>
            </w:r>
          </w:p>
        </w:tc>
      </w:tr>
      <w:tr w:rsidR="0067337D" w:rsidRPr="0067337D" w14:paraId="10C28D2D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54C93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4211 Dodatna ulaganja na </w:t>
            </w:r>
            <w:proofErr w:type="spellStart"/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postojenjima</w:t>
            </w:r>
            <w:proofErr w:type="spellEnd"/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i opremi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70F4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2E72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A5F0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CF25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A39D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AC4F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301D9C39" w14:textId="77777777" w:rsidTr="0067337D">
        <w:trPr>
          <w:trHeight w:val="270"/>
        </w:trPr>
        <w:tc>
          <w:tcPr>
            <w:tcW w:w="6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AEA43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4521 Dodatna ulaganja na prijevoznim </w:t>
            </w:r>
            <w:proofErr w:type="spellStart"/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stedstvima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F3DB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111.988,84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F0D2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8D7E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EA17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701,23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60E9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A196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0,47</w:t>
            </w:r>
          </w:p>
        </w:tc>
      </w:tr>
    </w:tbl>
    <w:p w14:paraId="61BBF787" w14:textId="77777777" w:rsidR="008A1702" w:rsidRDefault="008A1702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0313E41E" w14:textId="77777777" w:rsidR="00395EBF" w:rsidRDefault="00395EBF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2D22FFDB" w14:textId="77777777" w:rsidR="00395EBF" w:rsidRDefault="00395EBF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32BE4DCD" w14:textId="77777777" w:rsidR="00395EBF" w:rsidRDefault="00395EBF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p w14:paraId="49BB88C4" w14:textId="77777777" w:rsidR="00395EBF" w:rsidRDefault="00395EBF" w:rsidP="006F252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</w:pPr>
    </w:p>
    <w:tbl>
      <w:tblPr>
        <w:tblW w:w="15040" w:type="dxa"/>
        <w:tblLook w:val="04A0" w:firstRow="1" w:lastRow="0" w:firstColumn="1" w:lastColumn="0" w:noHBand="0" w:noVBand="1"/>
      </w:tblPr>
      <w:tblGrid>
        <w:gridCol w:w="5488"/>
        <w:gridCol w:w="1768"/>
        <w:gridCol w:w="1811"/>
        <w:gridCol w:w="1811"/>
        <w:gridCol w:w="1755"/>
        <w:gridCol w:w="1210"/>
        <w:gridCol w:w="1197"/>
      </w:tblGrid>
      <w:tr w:rsidR="0067337D" w:rsidRPr="0067337D" w14:paraId="2F73ED31" w14:textId="77777777" w:rsidTr="0067337D">
        <w:trPr>
          <w:trHeight w:val="660"/>
        </w:trPr>
        <w:tc>
          <w:tcPr>
            <w:tcW w:w="150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727F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A. RAČUN PRIHODA I RASHODA</w:t>
            </w:r>
          </w:p>
        </w:tc>
      </w:tr>
      <w:tr w:rsidR="0067337D" w:rsidRPr="0067337D" w14:paraId="5C82B658" w14:textId="77777777" w:rsidTr="0067337D">
        <w:trPr>
          <w:trHeight w:val="285"/>
        </w:trPr>
        <w:tc>
          <w:tcPr>
            <w:tcW w:w="90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43D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A2. IZVJEŠTAJ O PRIHODIMA I RASHODIMA PREMA IZVORIMA FINANCIRANJA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B30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979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54E5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AC0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67337D" w:rsidRPr="0067337D" w14:paraId="0893543F" w14:textId="77777777" w:rsidTr="0067337D">
        <w:trPr>
          <w:trHeight w:val="285"/>
        </w:trPr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443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70D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65F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777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F08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E12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960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67337D" w:rsidRPr="0067337D" w14:paraId="2972A48C" w14:textId="77777777" w:rsidTr="0067337D">
        <w:trPr>
          <w:trHeight w:val="801"/>
        </w:trPr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713AAF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9364E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- 6.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93E11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IZVORNI PLAN     2025.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92E248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3B9F9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- 6. 2025.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6724B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INDEKS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BF7B8A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67337D" w:rsidRPr="0067337D" w14:paraId="063374DC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F613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0F9A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58B5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FCAD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ACF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B341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6=5/2*100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9A24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7=5/4*100</w:t>
            </w:r>
          </w:p>
        </w:tc>
      </w:tr>
      <w:tr w:rsidR="0067337D" w:rsidRPr="0067337D" w14:paraId="2183E95E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F16C11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PRIHODI PREMA IZVORIMA FINANCIRANJA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6FA466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5.822.657,80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A6CB0E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21.866.637,00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6CC01B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21.866.637,00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B6B656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5.778.441,29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21D438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99,24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7B3A31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26,43</w:t>
            </w:r>
          </w:p>
        </w:tc>
      </w:tr>
      <w:tr w:rsidR="0067337D" w:rsidRPr="0067337D" w14:paraId="211A4F3F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C9C905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D5A479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5.822.657,80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B79AB4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21.866.637,00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5AD600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21.866.637,00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74A733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5.778.441,29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E33E4E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99,24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7E1EBA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26,43</w:t>
            </w:r>
          </w:p>
        </w:tc>
      </w:tr>
      <w:tr w:rsidR="0067337D" w:rsidRPr="0067337D" w14:paraId="3388E6BA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95ED4B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1440F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260.950,52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20DD3B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780215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98B1AB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326.942,17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88C7C6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125,29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08C5AE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33,36</w:t>
            </w:r>
          </w:p>
        </w:tc>
      </w:tr>
      <w:tr w:rsidR="0067337D" w:rsidRPr="0067337D" w14:paraId="3F8D756D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60842F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Izvor: 31 Vlastiti prihodi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5FEC07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260.950,52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929BBC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1152CB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980.000,00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6037A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326.942,17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A43C1B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125,29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46C087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33,36</w:t>
            </w:r>
          </w:p>
        </w:tc>
      </w:tr>
      <w:tr w:rsidR="0067337D" w:rsidRPr="0067337D" w14:paraId="3911768B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EB94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6BB1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7.082,37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493E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B25C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58F8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8.630,47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0CDB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121,86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FE56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10,79</w:t>
            </w:r>
          </w:p>
        </w:tc>
      </w:tr>
      <w:tr w:rsidR="0067337D" w:rsidRPr="0067337D" w14:paraId="2553B939" w14:textId="77777777" w:rsidTr="0067337D">
        <w:trPr>
          <w:trHeight w:val="51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D743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FFA8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253.868,15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C099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947F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900.000,00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B961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318.311,70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9E0C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125,38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FEAE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35,37</w:t>
            </w:r>
          </w:p>
        </w:tc>
      </w:tr>
      <w:tr w:rsidR="0067337D" w:rsidRPr="0067337D" w14:paraId="44145631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7F58B9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1F9B99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5.264.317,75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451882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20.130.000,00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6E0559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20.130.000,00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741835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5.437.268,32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7594F0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103,29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8392A2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27,01</w:t>
            </w:r>
          </w:p>
        </w:tc>
      </w:tr>
      <w:tr w:rsidR="0067337D" w:rsidRPr="0067337D" w14:paraId="2E46DBC2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B3B7F3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Izvor: 43 Ostali prihodi za posebne namjene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48C9D5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5.264.317,75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17D51E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20.130.000,00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FBBB3F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20.130.000,00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EF46C5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5.437.268,32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1ED1C7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103,29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0692F4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27,01</w:t>
            </w:r>
          </w:p>
        </w:tc>
      </w:tr>
      <w:tr w:rsidR="0067337D" w:rsidRPr="0067337D" w14:paraId="5DCEC154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960B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0320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20,89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B555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6941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B54B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E236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143B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50706692" w14:textId="77777777" w:rsidTr="0067337D">
        <w:trPr>
          <w:trHeight w:val="51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BA02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C2D4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5.259.552,08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18AE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9B94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20.005.000,00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57C9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5.435.102,27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A3FC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103,34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D2CE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27,17</w:t>
            </w:r>
          </w:p>
        </w:tc>
      </w:tr>
      <w:tr w:rsidR="0067337D" w:rsidRPr="0067337D" w14:paraId="7450142F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BD8E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68 Kazne, upravne mjere i ostali prihodi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CF9B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4.744,78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505F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220A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125.000,00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B9DA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2.166,05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BFA9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45,65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962C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1,73</w:t>
            </w:r>
          </w:p>
        </w:tc>
      </w:tr>
      <w:tr w:rsidR="0067337D" w:rsidRPr="0067337D" w14:paraId="2CD117D6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F23346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49D36E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297.389,53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E4FB7D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34DC73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756.637,00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9DF933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14.230,80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11EAA5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4,79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078FEB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1,88</w:t>
            </w:r>
          </w:p>
        </w:tc>
      </w:tr>
      <w:tr w:rsidR="0067337D" w:rsidRPr="0067337D" w14:paraId="462FE288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C8C46A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Izvor: 51 Pomoći EU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C7F73A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08562D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82D349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947229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14.230,80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9074C0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7FD945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#DIV/0!</w:t>
            </w:r>
          </w:p>
        </w:tc>
      </w:tr>
      <w:tr w:rsidR="0067337D" w:rsidRPr="0067337D" w14:paraId="0AE73E6E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265F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E26B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03BF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8FB0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3DB6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14.230,80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56C7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EEDD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#DIV/0!</w:t>
            </w:r>
          </w:p>
        </w:tc>
      </w:tr>
      <w:tr w:rsidR="0067337D" w:rsidRPr="0067337D" w14:paraId="50245A0E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452B5F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41B7A7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266.113,70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D35970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756.637,00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BF0783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756.637,00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34062B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818020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C13014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3F4E973C" w14:textId="77777777" w:rsidTr="0067337D">
        <w:trPr>
          <w:trHeight w:val="51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FA87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E03B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266.113,70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074D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E55C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756.637,00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CD98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1F90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AFAA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4E41F9C6" w14:textId="77777777" w:rsidTr="0067337D">
        <w:trPr>
          <w:trHeight w:val="285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50CA5F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1481EB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31.275,83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6D03E5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DF41E8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9438D6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F94DEB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D31101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34772195" w14:textId="77777777" w:rsidTr="0067337D">
        <w:trPr>
          <w:trHeight w:val="51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7F11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959E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31.275,83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B86A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99F4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0C60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8F26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80B5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33558140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9500DF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6 Donacije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F34CFD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8154DE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45A942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1F1571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2A78B9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0A2DF1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680CAA86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24C437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lastRenderedPageBreak/>
              <w:t>Izvor: 61 Donacije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2C46C6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7F1B7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B4D3D5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D36BA0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78B515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6BC7CC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408425DC" w14:textId="77777777" w:rsidTr="0067337D">
        <w:trPr>
          <w:trHeight w:val="285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6BFA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6631 Tekuće donacije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355D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1E43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CDF2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9DED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5D73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EF47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59017B41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8AD331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67337D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178E3F8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67337D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47287BD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67337D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7723670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67337D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243470C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67337D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0AD7583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67337D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60DCC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180"/>
              <w:jc w:val="left"/>
              <w:textAlignment w:val="auto"/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</w:pPr>
            <w:r w:rsidRPr="0067337D">
              <w:rPr>
                <w:rFonts w:ascii="Verdana" w:hAnsi="Verdana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67337D" w:rsidRPr="0067337D" w14:paraId="6116759F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8E24DB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PREMA IZVORIMA FINANCIRANJA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CCC8C4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7.343.874,37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E2E19A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99A9BF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22.780.000,00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B5E487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8.180.867,30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B0DFE9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111,40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2ED34F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35,91</w:t>
            </w:r>
          </w:p>
        </w:tc>
      </w:tr>
      <w:tr w:rsidR="0067337D" w:rsidRPr="0067337D" w14:paraId="1BB22CD9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5AB38F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4B460C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6.365.803,03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6F1630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19.765.000,00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56FAD0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19.765.000,00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84D979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6.816.971,93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3BD88F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107,09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93B86E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34,49</w:t>
            </w:r>
          </w:p>
        </w:tc>
      </w:tr>
      <w:tr w:rsidR="0067337D" w:rsidRPr="0067337D" w14:paraId="7A8816FD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D6F42C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061536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217.831,51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0C9C6C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7DC704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ECC2A6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254.830,00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983D71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116,98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1DF31D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26,00</w:t>
            </w:r>
          </w:p>
        </w:tc>
      </w:tr>
      <w:tr w:rsidR="0067337D" w:rsidRPr="0067337D" w14:paraId="17551BB5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1E6DAD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Izvor: 31 Vlastiti prihodi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066A94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217.831,51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D77BDB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5B6CC1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980.000,00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0BF317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254.830,00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1D9902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116,98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27BED8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26,00</w:t>
            </w:r>
          </w:p>
        </w:tc>
      </w:tr>
      <w:tr w:rsidR="0067337D" w:rsidRPr="0067337D" w14:paraId="4D1D1ECA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4AE5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22E2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217.831,51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17E7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E3F9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980.000,00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AC7A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254.830,00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9D07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116,98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F690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26,00</w:t>
            </w:r>
          </w:p>
        </w:tc>
      </w:tr>
      <w:tr w:rsidR="0067337D" w:rsidRPr="0067337D" w14:paraId="3FC5353C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132FEC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C6503F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6.147.971,52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A55F55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18.027.963,00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EB1156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18.027.963,00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A8F806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6.562.141,93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E3E347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106,74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370219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36,40</w:t>
            </w:r>
          </w:p>
        </w:tc>
      </w:tr>
      <w:tr w:rsidR="0067337D" w:rsidRPr="0067337D" w14:paraId="673B04B2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B980C0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Izvor: 43 Ostali prihodi za posebne namjene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3130C9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6.147.971,52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CD7BE3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18.027.963,00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BA96CB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18.027.963,00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DBCAAC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6.562.141,93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9F08F9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106,74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CC2C63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36,40</w:t>
            </w:r>
          </w:p>
        </w:tc>
      </w:tr>
      <w:tr w:rsidR="0067337D" w:rsidRPr="0067337D" w14:paraId="3443FDE6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FFCE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5F46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4.612.237,01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DB5A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9.390.900,00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EEEB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9.390.900,00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784B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4.603.798,93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A615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99,82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4A3F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49,02</w:t>
            </w:r>
          </w:p>
        </w:tc>
      </w:tr>
      <w:tr w:rsidR="0067337D" w:rsidRPr="0067337D" w14:paraId="7E29AD33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023F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18D0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1.519.181,87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C49D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6.062.063,00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A9B1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6.062.063,00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CD29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1.909.779,18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6DF6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125,71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5BE1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31,50</w:t>
            </w:r>
          </w:p>
        </w:tc>
      </w:tr>
      <w:tr w:rsidR="0067337D" w:rsidRPr="0067337D" w14:paraId="0E54070E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6769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34 Financijski rashodi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12CE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6.190,54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4081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704F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210.000,00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7455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25.413,88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ADB0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410,53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0F0D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12,10</w:t>
            </w:r>
          </w:p>
        </w:tc>
      </w:tr>
      <w:tr w:rsidR="0067337D" w:rsidRPr="0067337D" w14:paraId="7697C065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F583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36 Pomoći dane u inozemstvo i unutar općeg proračuna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8DFD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10.362,10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F55F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2.065.000,00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1433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2.065.000,00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D4D9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8.498,16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61F7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82,01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256C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0,41</w:t>
            </w:r>
          </w:p>
        </w:tc>
      </w:tr>
      <w:tr w:rsidR="0067337D" w:rsidRPr="0067337D" w14:paraId="2DEB5671" w14:textId="77777777" w:rsidTr="0067337D">
        <w:trPr>
          <w:trHeight w:val="51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CD40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0168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DBD3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FF3D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96BC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946E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1E50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73E6B7A5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0094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38 Ostali rashodi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1265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9866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5848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A96A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14.651,78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2231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8F97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4,88</w:t>
            </w:r>
          </w:p>
        </w:tc>
      </w:tr>
      <w:tr w:rsidR="0067337D" w:rsidRPr="0067337D" w14:paraId="02AB6C80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520335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F5EA14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C5E8A7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757.037,00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1F3F24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757.037,00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6A2FE0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5F7A01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7C66F6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4FFDA40E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56E2DF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Izvor: 51 Pomoći EU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EE515F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587D9D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400,00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7BDF90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400,00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E078A8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2599EE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332D40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6909AA7E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B82C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601E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32E4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2C78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CBA2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DD0D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1B92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5801B337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2DE97F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079943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336AFA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756.637,00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3FD9F0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756.637,00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3CB28C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3E78A6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4B612F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73DF4B3D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534F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F09A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3396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89.100,00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DA1C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89.100,00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4DB3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B7B9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228A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76E2A4BC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64D8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A3E1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CDBB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667.537,00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5A96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667.537,00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11F4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8A89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9DBD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7811F408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FD6A8E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91A48E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06BE5E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65F2E1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C785FD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102282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#DIV/0!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ACC3B7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74920950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3CBD2C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D61666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CA3001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4468D4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1A6B55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38858B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#DIV/0!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0C083E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09201029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C49B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39B1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2678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A5E2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B4CF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4AC8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#DIV/0!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B4FC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5E0329E5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E18B55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6 Donacije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4F15FD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AF5718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511F08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C45881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282CFC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F69843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2ACA9B9B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A6B1B3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Izvor: 61 Donacije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9FF214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BADACD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0CD79F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5CCF73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3349D7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489F00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4E8A1519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0595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FEB6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7440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9D0C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B556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778D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271F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38612DD2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258455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F67D0C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978.071,34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CC0228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3.015.000,00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1FA5C0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3.015.000,00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CA96C7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1.363.895,37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AB29E4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139,45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16E87E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45,24</w:t>
            </w:r>
          </w:p>
        </w:tc>
      </w:tr>
      <w:tr w:rsidR="0067337D" w:rsidRPr="0067337D" w14:paraId="1545F535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327970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0DA855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A396C1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7F47BE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9424D1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F956FF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2F3FD3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56856CD5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7DCBE0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Izvor: 31 Vlastiti prihodi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A721EB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710C04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8AD11F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2966CE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FDD64D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B71598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245B30BA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D15D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B0F7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C99C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4297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72FE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5151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8114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3D934B3E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9690CE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E2223F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946.795,51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ECA66D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3.015.000,00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5D9059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3.015.000,00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1B8AC3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1.363.895,37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4B316C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144,05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57D28C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45,24</w:t>
            </w:r>
          </w:p>
        </w:tc>
      </w:tr>
      <w:tr w:rsidR="0067337D" w:rsidRPr="0067337D" w14:paraId="2ECE649C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6BA4C4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lastRenderedPageBreak/>
              <w:t>Izvor: 43 Ostali prihodi za posebne namjene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40D604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946.795,51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033D39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3.015.000,00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F4855F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3.015.000,00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516BAF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1.363.895,37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40FBEF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144,05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B1EFCA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45,24</w:t>
            </w:r>
          </w:p>
        </w:tc>
      </w:tr>
      <w:tr w:rsidR="0067337D" w:rsidRPr="0067337D" w14:paraId="2E787E6F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6906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41 Rashodi za nabavu </w:t>
            </w:r>
            <w:proofErr w:type="spellStart"/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neproizvedene</w:t>
            </w:r>
            <w:proofErr w:type="spellEnd"/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dugotrajne imovine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DE60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82.332,45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E7FF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1313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850.000,00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A64F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463.439,14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F80D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562,89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D90C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54,52</w:t>
            </w:r>
          </w:p>
        </w:tc>
      </w:tr>
      <w:tr w:rsidR="0067337D" w:rsidRPr="0067337D" w14:paraId="291C083C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7352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DED6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193.137,20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A88E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1.815.000,00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1D32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1.815.000,00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DD6C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870.265,00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5942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450,59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2037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47,95</w:t>
            </w:r>
          </w:p>
        </w:tc>
      </w:tr>
      <w:tr w:rsidR="0067337D" w:rsidRPr="0067337D" w14:paraId="4A50253A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4A00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45 Rashodi za dodatna ulaganja na nefinancijskoj imovini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B987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671.325,86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4CCF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91C3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350.000,00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C520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30.191,23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4C86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86DF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8,63</w:t>
            </w:r>
          </w:p>
        </w:tc>
      </w:tr>
      <w:tr w:rsidR="0067337D" w:rsidRPr="0067337D" w14:paraId="794A9163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FB1034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4D69EA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890E51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9B1E30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85F293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5BDA44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75454E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2E3123DA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CB870E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ACF79E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4853B2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63C5BD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49CBBF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BE40A0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660E4A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7D69E1C1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930B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EEA7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5DF7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A212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6E85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BAE7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0DDC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02D5B14D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20692A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136413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31.275,83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9713F5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8989ED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2125F9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5EA1A9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10BF57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17068BF8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AFF983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A8017A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31.275,83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F185B0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469E57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D9463E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0C9DA8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AD0602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4DAE8209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478F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41 Rashodi za nabavu </w:t>
            </w:r>
            <w:proofErr w:type="spellStart"/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neproizvedene</w:t>
            </w:r>
            <w:proofErr w:type="spellEnd"/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dugotrajne imovine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18DB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31.275,83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5CA2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8B72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7E2A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E3DF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CE44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225A59A1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F720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7544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A30A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8EA8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A2CE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9C7C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0FA2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04FDAB4C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D41B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45 Rashodi za dodatna ulaganja na nefinancijskoj imovini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DF2B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591B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4635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3C11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484C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76B5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67337D" w:rsidRPr="0067337D" w14:paraId="2D32DE98" w14:textId="77777777" w:rsidTr="0067337D">
        <w:trPr>
          <w:trHeight w:val="270"/>
        </w:trPr>
        <w:tc>
          <w:tcPr>
            <w:tcW w:w="5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1290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0922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4492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7F6C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1EE7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5B5A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6958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 </w:t>
            </w:r>
          </w:p>
        </w:tc>
      </w:tr>
    </w:tbl>
    <w:p w14:paraId="71006FA9" w14:textId="77777777" w:rsidR="00395EBF" w:rsidRDefault="00395EBF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38C89FA1" w14:textId="77777777" w:rsidR="00395EBF" w:rsidRDefault="00395EBF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03A0B96F" w14:textId="77777777" w:rsidR="00395EBF" w:rsidRDefault="00395EBF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47F697EA" w14:textId="77777777" w:rsidR="00395EBF" w:rsidRDefault="00395EBF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5A2EB583" w14:textId="77777777" w:rsidR="00395EBF" w:rsidRDefault="00395EBF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4CF643B2" w14:textId="77777777" w:rsidR="00395EBF" w:rsidRDefault="00395EBF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1E8FED17" w14:textId="77777777" w:rsidR="00395EBF" w:rsidRDefault="00395EBF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128754A3" w14:textId="77777777" w:rsidR="00395EBF" w:rsidRDefault="00395EBF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6CC6BD6A" w14:textId="77777777" w:rsidR="00395EBF" w:rsidRDefault="00395EBF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1F5D814C" w14:textId="77777777" w:rsidR="00395EBF" w:rsidRDefault="00395EBF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p w14:paraId="613608C3" w14:textId="77777777" w:rsidR="00395EBF" w:rsidRDefault="00395EBF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</w:p>
    <w:tbl>
      <w:tblPr>
        <w:tblW w:w="15040" w:type="dxa"/>
        <w:tblLook w:val="04A0" w:firstRow="1" w:lastRow="0" w:firstColumn="1" w:lastColumn="0" w:noHBand="0" w:noVBand="1"/>
      </w:tblPr>
      <w:tblGrid>
        <w:gridCol w:w="5599"/>
        <w:gridCol w:w="1753"/>
        <w:gridCol w:w="1811"/>
        <w:gridCol w:w="1811"/>
        <w:gridCol w:w="1726"/>
        <w:gridCol w:w="1143"/>
        <w:gridCol w:w="1197"/>
      </w:tblGrid>
      <w:tr w:rsidR="0067337D" w:rsidRPr="0067337D" w14:paraId="3D9BDB6B" w14:textId="77777777" w:rsidTr="0067337D">
        <w:trPr>
          <w:trHeight w:val="660"/>
        </w:trPr>
        <w:tc>
          <w:tcPr>
            <w:tcW w:w="150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8540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A. RAČUN PRIHODA I RASHODA</w:t>
            </w:r>
          </w:p>
        </w:tc>
      </w:tr>
      <w:tr w:rsidR="0067337D" w:rsidRPr="0067337D" w14:paraId="0D0ABE0F" w14:textId="77777777" w:rsidTr="0067337D">
        <w:trPr>
          <w:trHeight w:val="285"/>
        </w:trPr>
        <w:tc>
          <w:tcPr>
            <w:tcW w:w="7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7A0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A3. IZVJEŠTAJ O RASHODIMA PREMA FUNKCIJSKOJ KLASIFIKACIJI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367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1CA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6AA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C05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C4F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67337D" w:rsidRPr="0067337D" w14:paraId="4C4E4728" w14:textId="77777777" w:rsidTr="0067337D">
        <w:trPr>
          <w:trHeight w:val="28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F60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52D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D64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E83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7DD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530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4C8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67337D" w:rsidRPr="0067337D" w14:paraId="3B307770" w14:textId="77777777" w:rsidTr="0067337D">
        <w:trPr>
          <w:trHeight w:val="801"/>
        </w:trPr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0CB64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B8A49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- 6.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28F321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IZVORNI PLAN     2025.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A80575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8A49CE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- 6. 2025.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E23F5A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INDEKS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94CAA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67337D" w:rsidRPr="0067337D" w14:paraId="391B52ED" w14:textId="77777777" w:rsidTr="0067337D">
        <w:trPr>
          <w:trHeight w:val="270"/>
        </w:trPr>
        <w:tc>
          <w:tcPr>
            <w:tcW w:w="55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62D1B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3132A2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44CC2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758873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478EC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3CA39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6=5/2*100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F5C75A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7=5/4*100</w:t>
            </w:r>
          </w:p>
        </w:tc>
      </w:tr>
      <w:tr w:rsidR="0067337D" w:rsidRPr="0067337D" w14:paraId="5F4DFFC9" w14:textId="77777777" w:rsidTr="0067337D">
        <w:trPr>
          <w:trHeight w:val="27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849293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PREMA FUNKCIJSKOJ KLASIFIKACIJI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9BED1A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7.343.874,37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87E207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22.780.000,00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9AFD6B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22.780.000,00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9CDC6E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8.180.867,30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6549F9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111,40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77BB14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35,91</w:t>
            </w:r>
          </w:p>
        </w:tc>
      </w:tr>
      <w:tr w:rsidR="0067337D" w:rsidRPr="0067337D" w14:paraId="2F182A3E" w14:textId="77777777" w:rsidTr="0067337D">
        <w:trPr>
          <w:trHeight w:val="27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E5AA50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05 ZAŠTITA OKOLIŠA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678C8D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7.343.874,37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2BCCF4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0685FA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22.780.000,00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F29B45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8.180.867,30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DF7B24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111,40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27EA1F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35,91</w:t>
            </w:r>
          </w:p>
        </w:tc>
      </w:tr>
      <w:tr w:rsidR="0067337D" w:rsidRPr="0067337D" w14:paraId="5658F8F1" w14:textId="77777777" w:rsidTr="0067337D">
        <w:trPr>
          <w:trHeight w:val="27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D19582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054 Zaštita bioraznolikosti i krajolika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056A80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7.343.874,37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778FDA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22.780.000,00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7A85CE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22.780.000,00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10073A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8.180.867,30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9621CB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111,40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3F3ADA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35,91</w:t>
            </w:r>
          </w:p>
        </w:tc>
      </w:tr>
      <w:tr w:rsidR="0067337D" w:rsidRPr="0067337D" w14:paraId="00AA740A" w14:textId="77777777" w:rsidTr="0067337D">
        <w:trPr>
          <w:trHeight w:val="270"/>
        </w:trPr>
        <w:tc>
          <w:tcPr>
            <w:tcW w:w="5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E530E4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35722F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6.365.803,03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0E4420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19.765.000,00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FC5F58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19.765.000,00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8687CC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6.816.971,93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B88C47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107,09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8E552E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34,49</w:t>
            </w:r>
          </w:p>
        </w:tc>
      </w:tr>
      <w:tr w:rsidR="0067337D" w:rsidRPr="0067337D" w14:paraId="29CC82F8" w14:textId="77777777" w:rsidTr="0067337D">
        <w:trPr>
          <w:trHeight w:val="270"/>
        </w:trPr>
        <w:tc>
          <w:tcPr>
            <w:tcW w:w="5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24A5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BF4D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4.830.068,52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C57F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10.460.000,00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6C8F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10.460.000,00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779D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4.858.628,93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A71C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C4B2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46,45</w:t>
            </w:r>
          </w:p>
        </w:tc>
      </w:tr>
      <w:tr w:rsidR="0067337D" w:rsidRPr="0067337D" w14:paraId="353DA4DA" w14:textId="77777777" w:rsidTr="0067337D">
        <w:trPr>
          <w:trHeight w:val="270"/>
        </w:trPr>
        <w:tc>
          <w:tcPr>
            <w:tcW w:w="5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92F7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F047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1.519.181,87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ACBA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6.730.000,00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2B22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6.730.000,00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8A99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1.909.779,18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F5E5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125,71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266C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28,38</w:t>
            </w:r>
          </w:p>
        </w:tc>
      </w:tr>
      <w:tr w:rsidR="0067337D" w:rsidRPr="0067337D" w14:paraId="4EF8E56D" w14:textId="77777777" w:rsidTr="0067337D">
        <w:trPr>
          <w:trHeight w:val="270"/>
        </w:trPr>
        <w:tc>
          <w:tcPr>
            <w:tcW w:w="5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A20C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34 Financijski rashodi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7529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6.190,54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974A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210.000,00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E05A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210.000,00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C052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25.413,88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D899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410,53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383E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12,10</w:t>
            </w:r>
          </w:p>
        </w:tc>
      </w:tr>
      <w:tr w:rsidR="0067337D" w:rsidRPr="0067337D" w14:paraId="19DFE91B" w14:textId="77777777" w:rsidTr="0067337D">
        <w:trPr>
          <w:trHeight w:val="270"/>
        </w:trPr>
        <w:tc>
          <w:tcPr>
            <w:tcW w:w="5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667A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36 Pomoći dane u inozemstvo i unutar općeg proračuna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26DF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10.362,10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0AA5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2.065.000,00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2B14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2.065.000,00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6DD8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8.498,16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E93C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82,01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861E1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0,41</w:t>
            </w:r>
          </w:p>
        </w:tc>
      </w:tr>
      <w:tr w:rsidR="0067337D" w:rsidRPr="0067337D" w14:paraId="69950E07" w14:textId="77777777" w:rsidTr="0067337D">
        <w:trPr>
          <w:trHeight w:val="510"/>
        </w:trPr>
        <w:tc>
          <w:tcPr>
            <w:tcW w:w="5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E67A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B705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2CC4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3522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368F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F0B5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23416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#DIV/0!</w:t>
            </w:r>
          </w:p>
        </w:tc>
      </w:tr>
      <w:tr w:rsidR="0067337D" w:rsidRPr="0067337D" w14:paraId="6B32A14B" w14:textId="77777777" w:rsidTr="0067337D">
        <w:trPr>
          <w:trHeight w:val="270"/>
        </w:trPr>
        <w:tc>
          <w:tcPr>
            <w:tcW w:w="5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80933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38 Ostali rashodi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5972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4CB1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14C3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4A4C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14.651,78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344B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0A83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4,88</w:t>
            </w:r>
          </w:p>
        </w:tc>
      </w:tr>
      <w:tr w:rsidR="0067337D" w:rsidRPr="0067337D" w14:paraId="7C37548B" w14:textId="77777777" w:rsidTr="0067337D">
        <w:trPr>
          <w:trHeight w:val="270"/>
        </w:trPr>
        <w:tc>
          <w:tcPr>
            <w:tcW w:w="5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062AD7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4A655F9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978.071,34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C3D08D2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3.015.000,00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C88588C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3.015.000,00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5B9E13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1.363.895,37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7025D5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139,45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0C3A25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45,24</w:t>
            </w:r>
          </w:p>
        </w:tc>
      </w:tr>
      <w:tr w:rsidR="0067337D" w:rsidRPr="0067337D" w14:paraId="421A2760" w14:textId="77777777" w:rsidTr="0067337D">
        <w:trPr>
          <w:trHeight w:val="270"/>
        </w:trPr>
        <w:tc>
          <w:tcPr>
            <w:tcW w:w="5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3452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41 Rashodi za nabavu </w:t>
            </w:r>
            <w:proofErr w:type="spellStart"/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neproizvedene</w:t>
            </w:r>
            <w:proofErr w:type="spellEnd"/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dugotrajne imovine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05E9B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113.608,28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A22C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4BDD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850.000,00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334D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463.439,14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E4F1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407,93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C969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54,52</w:t>
            </w:r>
          </w:p>
        </w:tc>
      </w:tr>
      <w:tr w:rsidR="0067337D" w:rsidRPr="0067337D" w14:paraId="30CD1F45" w14:textId="77777777" w:rsidTr="0067337D">
        <w:trPr>
          <w:trHeight w:val="270"/>
        </w:trPr>
        <w:tc>
          <w:tcPr>
            <w:tcW w:w="5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565C5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DEC84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193.137,20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75567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1.815.000,00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4234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1.815.000,00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AA3A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870.265,00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5FCD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450,59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27C0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47,95</w:t>
            </w:r>
          </w:p>
        </w:tc>
      </w:tr>
      <w:tr w:rsidR="0067337D" w:rsidRPr="0067337D" w14:paraId="32ADF45A" w14:textId="77777777" w:rsidTr="0067337D">
        <w:trPr>
          <w:trHeight w:val="270"/>
        </w:trPr>
        <w:tc>
          <w:tcPr>
            <w:tcW w:w="5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554CF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45 Rashodi za dodatna ulaganja na nefinancijskoj imovini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372A0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671.325,86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12D68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350.000,00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7BAF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350.000,00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D24FA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30.191,23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02C9D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4,50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C59CE" w14:textId="77777777" w:rsidR="0067337D" w:rsidRPr="0067337D" w:rsidRDefault="0067337D" w:rsidP="0067337D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7337D">
              <w:rPr>
                <w:rFonts w:ascii="Arial" w:hAnsi="Arial" w:cs="Arial"/>
                <w:color w:val="000000"/>
                <w:sz w:val="20"/>
                <w:lang w:val="hr-HR" w:eastAsia="hr-HR"/>
              </w:rPr>
              <w:t>8,63</w:t>
            </w:r>
          </w:p>
        </w:tc>
      </w:tr>
    </w:tbl>
    <w:p w14:paraId="4531521D" w14:textId="77777777" w:rsidR="00E73417" w:rsidRDefault="00E73417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  <w:r>
        <w:rPr>
          <w:b/>
          <w:noProof/>
          <w:sz w:val="28"/>
          <w:szCs w:val="28"/>
          <w:lang w:eastAsia="hr-HR"/>
        </w:rPr>
        <w:br w:type="page"/>
      </w:r>
    </w:p>
    <w:tbl>
      <w:tblPr>
        <w:tblW w:w="14330" w:type="dxa"/>
        <w:tblInd w:w="108" w:type="dxa"/>
        <w:tblLook w:val="04A0" w:firstRow="1" w:lastRow="0" w:firstColumn="1" w:lastColumn="0" w:noHBand="0" w:noVBand="1"/>
      </w:tblPr>
      <w:tblGrid>
        <w:gridCol w:w="14439"/>
      </w:tblGrid>
      <w:tr w:rsidR="00510584" w:rsidRPr="00510584" w14:paraId="7E3D0287" w14:textId="77777777" w:rsidTr="00080F4E">
        <w:trPr>
          <w:trHeight w:val="280"/>
        </w:trPr>
        <w:tc>
          <w:tcPr>
            <w:tcW w:w="14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066B" w14:textId="77777777" w:rsidR="00080F4E" w:rsidRDefault="00080F4E"/>
          <w:tbl>
            <w:tblPr>
              <w:tblW w:w="13440" w:type="dxa"/>
              <w:tblLook w:val="04A0" w:firstRow="1" w:lastRow="0" w:firstColumn="1" w:lastColumn="0" w:noHBand="0" w:noVBand="1"/>
            </w:tblPr>
            <w:tblGrid>
              <w:gridCol w:w="661"/>
              <w:gridCol w:w="4527"/>
              <w:gridCol w:w="1628"/>
              <w:gridCol w:w="1580"/>
              <w:gridCol w:w="1460"/>
              <w:gridCol w:w="1640"/>
              <w:gridCol w:w="972"/>
              <w:gridCol w:w="972"/>
            </w:tblGrid>
            <w:tr w:rsidR="00B94C5C" w:rsidRPr="00B94C5C" w14:paraId="6F080198" w14:textId="77777777" w:rsidTr="00B94C5C">
              <w:trPr>
                <w:trHeight w:val="315"/>
              </w:trPr>
              <w:tc>
                <w:tcPr>
                  <w:tcW w:w="1344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8AEF37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  <w:t>RAČUN FINANCIRANJA</w:t>
                  </w:r>
                </w:p>
              </w:tc>
            </w:tr>
            <w:tr w:rsidR="00B94C5C" w:rsidRPr="00B94C5C" w14:paraId="1BB4B4AC" w14:textId="77777777" w:rsidTr="00B94C5C">
              <w:trPr>
                <w:trHeight w:val="315"/>
              </w:trPr>
              <w:tc>
                <w:tcPr>
                  <w:tcW w:w="1344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13224A6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hr-HR" w:eastAsia="hr-HR"/>
                    </w:rPr>
                    <w:t xml:space="preserve">IZVJEŠTAJ RAČUNA FINANCIRANJA PREMA EKONOMSKOJ KLASIFIKACIJI </w:t>
                  </w:r>
                </w:p>
              </w:tc>
            </w:tr>
            <w:tr w:rsidR="00B94C5C" w:rsidRPr="00B94C5C" w14:paraId="22997376" w14:textId="77777777" w:rsidTr="00B94C5C">
              <w:trPr>
                <w:trHeight w:val="360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83DF15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12161A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4E6A575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665450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3BD86F6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EF559E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0B48ED3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D81B3A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 </w:t>
                  </w:r>
                </w:p>
              </w:tc>
            </w:tr>
            <w:tr w:rsidR="00B94C5C" w:rsidRPr="00B94C5C" w14:paraId="002AF0BA" w14:textId="77777777" w:rsidTr="00B94C5C">
              <w:trPr>
                <w:trHeight w:val="780"/>
              </w:trPr>
              <w:tc>
                <w:tcPr>
                  <w:tcW w:w="5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73EF4537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BROJČANA OZNAKA I NAZIV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3D3F3688" w14:textId="3288EEB6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OSTVARENJE/ IZVRŠENJE          1. - 6. 202</w:t>
                  </w:r>
                  <w:r w:rsid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4</w:t>
                  </w:r>
                  <w:r w:rsidRPr="00B94C5C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.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3D1BDA72" w14:textId="66984FBC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IZVORNI PLAN 202</w:t>
                  </w:r>
                  <w:r w:rsid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5</w:t>
                  </w:r>
                  <w:r w:rsidRPr="00B94C5C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.</w:t>
                  </w:r>
                </w:p>
              </w:tc>
              <w:tc>
                <w:tcPr>
                  <w:tcW w:w="1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7098157D" w14:textId="048EF9CF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TEKUĆI PLAN     202</w:t>
                  </w:r>
                  <w:r w:rsid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5</w:t>
                  </w:r>
                  <w:r w:rsidRPr="00B94C5C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.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157D4098" w14:textId="5F38A57C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OSTVARENJE/ IZVRŠENJE            1. - 6. 202</w:t>
                  </w:r>
                  <w:r w:rsid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5</w:t>
                  </w:r>
                  <w:r w:rsidRPr="00B94C5C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0123B527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INDEKS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51E959E8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INDEKS</w:t>
                  </w:r>
                </w:p>
              </w:tc>
            </w:tr>
            <w:tr w:rsidR="00B94C5C" w:rsidRPr="00B94C5C" w14:paraId="5EE1879C" w14:textId="77777777" w:rsidTr="00B94C5C">
              <w:trPr>
                <w:trHeight w:val="300"/>
              </w:trPr>
              <w:tc>
                <w:tcPr>
                  <w:tcW w:w="5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A61CD8A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6516E2ED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A0C845E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D3ED262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3E19B0F9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AA72336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6=5/2*100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78FEB7E3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7=5/4*100</w:t>
                  </w:r>
                </w:p>
              </w:tc>
            </w:tr>
            <w:tr w:rsidR="00B94C5C" w:rsidRPr="00B94C5C" w14:paraId="290DCBB3" w14:textId="77777777" w:rsidTr="00B94C5C">
              <w:trPr>
                <w:trHeight w:val="499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1C472A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</w:t>
                  </w: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E2C16B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Primici od financijske imovine i zaduživanja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22F152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90D39E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1345C5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684338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E7C571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8E382C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B94C5C" w:rsidRPr="00B94C5C" w14:paraId="7EFC77A7" w14:textId="77777777" w:rsidTr="00B94C5C">
              <w:trPr>
                <w:trHeight w:val="499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4C5D8F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84</w:t>
                  </w: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ADEE06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sz w:val="20"/>
                      <w:lang w:val="hr-HR" w:eastAsia="hr-HR"/>
                    </w:rPr>
                    <w:t>Primici od zaduživanja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91230F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FAF035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DE0176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EAEE66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C8936D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CC844E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B94C5C" w:rsidRPr="00B94C5C" w14:paraId="4771C7EA" w14:textId="77777777" w:rsidTr="00B94C5C">
              <w:trPr>
                <w:trHeight w:val="702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874146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sz w:val="20"/>
                      <w:lang w:val="hr-HR" w:eastAsia="hr-HR"/>
                    </w:rPr>
                    <w:t>841</w:t>
                  </w: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DFDACA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sz w:val="20"/>
                      <w:lang w:val="hr-HR" w:eastAsia="hr-HR"/>
                    </w:rPr>
                    <w:t>Primljeni krediti i zajmovi od međunarodnih organizacija, institucija i tijela EU te inozemnih vlada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D978B6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F8A560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ED23BF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181485B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C1892D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B84D13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B94C5C" w:rsidRPr="00B94C5C" w14:paraId="322DF33B" w14:textId="77777777" w:rsidTr="00B94C5C">
              <w:trPr>
                <w:trHeight w:val="499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0F3911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sz w:val="20"/>
                      <w:lang w:val="hr-HR" w:eastAsia="hr-HR"/>
                    </w:rPr>
                    <w:t>8413</w:t>
                  </w: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0D31F2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sz w:val="20"/>
                      <w:lang w:val="hr-HR" w:eastAsia="hr-HR"/>
                    </w:rPr>
                    <w:t>Primljeni zajmovi od međunarodnih organizacija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41D2A0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3A296E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9542A9E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F3B814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E9B872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55DDE3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B94C5C" w:rsidRPr="00B94C5C" w14:paraId="451FC2DA" w14:textId="77777777" w:rsidTr="00B94C5C">
              <w:trPr>
                <w:trHeight w:val="499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D8E6E4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5</w:t>
                  </w: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1E851B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Izdaci za financijsku imovinu i otplate zajmova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E53333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EA15EE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57FC3E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749385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4C0340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256EFD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B94C5C" w:rsidRPr="00B94C5C" w14:paraId="78C79A05" w14:textId="77777777" w:rsidTr="00B94C5C">
              <w:trPr>
                <w:trHeight w:val="499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830CBE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sz w:val="20"/>
                      <w:lang w:val="hr-HR" w:eastAsia="hr-HR"/>
                    </w:rPr>
                    <w:t>54</w:t>
                  </w: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8CD647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sz w:val="20"/>
                      <w:lang w:val="hr-HR" w:eastAsia="hr-HR"/>
                    </w:rPr>
                    <w:t>Izdaci za otplatu glavnice primljenih kredita i zajmova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A052202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1F673C1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6C38276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70D06B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F873E9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837FB8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B94C5C" w:rsidRPr="00B94C5C" w14:paraId="54A4CCFB" w14:textId="77777777" w:rsidTr="00B94C5C">
              <w:trPr>
                <w:trHeight w:val="702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6CAC67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sz w:val="20"/>
                      <w:lang w:val="hr-HR" w:eastAsia="hr-HR"/>
                    </w:rPr>
                    <w:t>541</w:t>
                  </w: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1EA531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sz w:val="20"/>
                      <w:lang w:val="hr-HR" w:eastAsia="hr-HR"/>
                    </w:rPr>
                    <w:t>Otplata glavnice primljenih kredita i zajmova od međunarodnih organizacija, institucija i tijela EU te inozemnih vlada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2B3FE01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241E7D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AB28F1B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28ECA8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0BA773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23A604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B94C5C" w:rsidRPr="00B94C5C" w14:paraId="28BED876" w14:textId="77777777" w:rsidTr="00B94C5C">
              <w:trPr>
                <w:trHeight w:val="702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5897BE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sz w:val="20"/>
                      <w:lang w:val="hr-HR" w:eastAsia="hr-HR"/>
                    </w:rPr>
                    <w:t>5413</w:t>
                  </w:r>
                </w:p>
              </w:tc>
              <w:tc>
                <w:tcPr>
                  <w:tcW w:w="4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C236B4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sz w:val="20"/>
                      <w:lang w:val="hr-HR" w:eastAsia="hr-HR"/>
                    </w:rPr>
                    <w:t>Otplata glavnice primljenih zajmova od međunarodnih organizacija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B979B3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7E877D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220C0D8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D92F0A9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278D91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6EA50E" w14:textId="77777777" w:rsidR="00B94C5C" w:rsidRPr="00B94C5C" w:rsidRDefault="00B94C5C" w:rsidP="00B94C5C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B94C5C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</w:tbl>
          <w:p w14:paraId="3C83008F" w14:textId="77777777" w:rsidR="00080F4E" w:rsidRDefault="00080F4E"/>
          <w:p w14:paraId="08B931B0" w14:textId="77777777" w:rsidR="00080F4E" w:rsidRDefault="00080F4E" w:rsidP="00080F4E">
            <w:pPr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b/>
                <w:noProof/>
                <w:sz w:val="28"/>
                <w:szCs w:val="28"/>
                <w:lang w:eastAsia="hr-HR"/>
              </w:rPr>
            </w:pPr>
          </w:p>
          <w:p w14:paraId="43B3E835" w14:textId="77777777" w:rsidR="00F973D2" w:rsidRDefault="00F973D2" w:rsidP="00080F4E">
            <w:pPr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b/>
                <w:noProof/>
                <w:sz w:val="28"/>
                <w:szCs w:val="28"/>
                <w:lang w:eastAsia="hr-HR"/>
              </w:rPr>
            </w:pPr>
          </w:p>
          <w:p w14:paraId="67E006BA" w14:textId="77777777" w:rsidR="000D7C2F" w:rsidRDefault="000D7C2F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186F06BB" w14:textId="77777777" w:rsidR="00F973D2" w:rsidRDefault="00F973D2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766202C1" w14:textId="77777777" w:rsidR="00F973D2" w:rsidRDefault="00F973D2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2910A99D" w14:textId="77777777" w:rsidR="00F973D2" w:rsidRDefault="00F973D2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7F47BD7B" w14:textId="77777777" w:rsidR="00510584" w:rsidRPr="00510584" w:rsidRDefault="00510584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  <w:r w:rsidRPr="00510584">
              <w:rPr>
                <w:rFonts w:ascii="Arial" w:hAnsi="Arial" w:cs="Arial"/>
                <w:b/>
                <w:bCs/>
                <w:szCs w:val="22"/>
                <w:lang w:val="hr-HR" w:eastAsia="hr-HR"/>
              </w:rPr>
              <w:t>II. POSEBNI DIO</w:t>
            </w:r>
          </w:p>
        </w:tc>
      </w:tr>
      <w:tr w:rsidR="00510584" w:rsidRPr="00510584" w14:paraId="740D17FC" w14:textId="77777777" w:rsidTr="00510584">
        <w:trPr>
          <w:trHeight w:val="280"/>
        </w:trPr>
        <w:tc>
          <w:tcPr>
            <w:tcW w:w="14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6F626" w14:textId="77777777" w:rsidR="00510584" w:rsidRDefault="00510584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0B6DC216" w14:textId="77777777" w:rsidR="00F973D2" w:rsidRDefault="00F973D2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tbl>
            <w:tblPr>
              <w:tblW w:w="14223" w:type="dxa"/>
              <w:tblLook w:val="04A0" w:firstRow="1" w:lastRow="0" w:firstColumn="1" w:lastColumn="0" w:noHBand="0" w:noVBand="1"/>
            </w:tblPr>
            <w:tblGrid>
              <w:gridCol w:w="7714"/>
              <w:gridCol w:w="1811"/>
              <w:gridCol w:w="1811"/>
              <w:gridCol w:w="1745"/>
              <w:gridCol w:w="1142"/>
            </w:tblGrid>
            <w:tr w:rsidR="0067337D" w:rsidRPr="0067337D" w14:paraId="5104DFBA" w14:textId="77777777" w:rsidTr="0067337D">
              <w:trPr>
                <w:trHeight w:val="278"/>
              </w:trPr>
              <w:tc>
                <w:tcPr>
                  <w:tcW w:w="130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EA2DD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IZVRŠENJE RASHODA I IZDATAKA PO IZVORIMA FINANCIRANJA, EKONOMSKOJ I PROGRAMSKOJ KLASIFIKACIJI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ECE47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</w:p>
              </w:tc>
            </w:tr>
            <w:tr w:rsidR="0067337D" w:rsidRPr="0067337D" w14:paraId="63812449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07B52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BD065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A9E0E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268DF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21C4A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sz w:val="20"/>
                      <w:lang w:val="hr-HR" w:eastAsia="hr-HR"/>
                    </w:rPr>
                  </w:pPr>
                </w:p>
              </w:tc>
            </w:tr>
            <w:tr w:rsidR="0067337D" w:rsidRPr="0067337D" w14:paraId="712889F4" w14:textId="77777777" w:rsidTr="0067337D">
              <w:trPr>
                <w:trHeight w:val="801"/>
              </w:trPr>
              <w:tc>
                <w:tcPr>
                  <w:tcW w:w="7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6C59EF8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BROJČANA OZNAKA I NAZIV</w:t>
                  </w: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5146837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IZVORNI PLAN     2025.</w:t>
                  </w:r>
                </w:p>
              </w:tc>
              <w:tc>
                <w:tcPr>
                  <w:tcW w:w="18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192EC82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TEKUĆI PLAN     2025.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32C111B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OSTVARENJE/ IZVRŠENJE            1. - 6. 2025.</w:t>
                  </w:r>
                </w:p>
              </w:tc>
              <w:tc>
                <w:tcPr>
                  <w:tcW w:w="114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33D0ED3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INDEKS</w:t>
                  </w:r>
                </w:p>
              </w:tc>
            </w:tr>
            <w:tr w:rsidR="0067337D" w:rsidRPr="0067337D" w14:paraId="36BAAC26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4139F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1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59C15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2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5A6C0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3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EE874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C8A6F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center"/>
                    <w:textAlignment w:val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hr-HR" w:eastAsia="hr-HR"/>
                    </w:rPr>
                    <w:t>5=4/3*100</w:t>
                  </w:r>
                </w:p>
              </w:tc>
            </w:tr>
            <w:tr w:rsidR="0067337D" w:rsidRPr="0067337D" w14:paraId="4959F28D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326AF3C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RASHODI SVEUKUPNO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C1758E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22.780.000,00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36B9C16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22.780.000,00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0F3D4418" w14:textId="4D58AD5C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8.180.867,3</w:t>
                  </w:r>
                  <w:r w:rsidR="00F9494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3C69FE9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35,91</w:t>
                  </w:r>
                </w:p>
              </w:tc>
            </w:tr>
            <w:tr w:rsidR="0067337D" w:rsidRPr="0067337D" w14:paraId="7768701F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1ABAEE6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3401 ZAŠTITA PRIRODE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1059B85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22.780.000,00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5D00EAC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22.780.000,00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073B5E43" w14:textId="53C3DCDC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8.180.867,3</w:t>
                  </w:r>
                  <w:r w:rsidR="00F9494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0B9BE9E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35,91</w:t>
                  </w:r>
                </w:p>
              </w:tc>
            </w:tr>
            <w:tr w:rsidR="0067337D" w:rsidRPr="0067337D" w14:paraId="09517C28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7CA23A1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A779047 ADMINISTRACIJA I UPRAVLJANJE (IZ EVIDENCIJSKIH PRIHODA)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69C574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22.780.000,00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66CC480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22.780.000,00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5F438A4" w14:textId="066FC7F3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8.180.867,3</w:t>
                  </w:r>
                  <w:r w:rsidR="00F9494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452DCE5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35,91</w:t>
                  </w:r>
                </w:p>
              </w:tc>
            </w:tr>
            <w:tr w:rsidR="0067337D" w:rsidRPr="0067337D" w14:paraId="6366C608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1614C5E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3 Vlastiti prihodi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35F7F6D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980.000,00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04C4A4F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980.000,00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06F966E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254.830,00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8EE921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26,00</w:t>
                  </w:r>
                </w:p>
              </w:tc>
            </w:tr>
            <w:tr w:rsidR="0067337D" w:rsidRPr="0067337D" w14:paraId="72453A27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8C806A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31 Vlastiti prihodi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CB44E7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980.000,00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1C34348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980.000,00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19D0097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254.830,00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5D070B3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26,00</w:t>
                  </w:r>
                </w:p>
              </w:tc>
            </w:tr>
            <w:tr w:rsidR="0067337D" w:rsidRPr="0067337D" w14:paraId="173A3340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64D4E4D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565B59D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980.000,00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0991F86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980.000,00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3FF4425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254.830,00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18A1EE2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26,00</w:t>
                  </w:r>
                </w:p>
              </w:tc>
            </w:tr>
            <w:tr w:rsidR="0067337D" w:rsidRPr="0067337D" w14:paraId="33A79FE8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ECCD30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2C77C0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980.000,00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EE920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980.000,00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065F7B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254.830,00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2DBC1D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26,00</w:t>
                  </w:r>
                </w:p>
              </w:tc>
            </w:tr>
            <w:tr w:rsidR="0067337D" w:rsidRPr="0067337D" w14:paraId="35A7C0E9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0AE627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311 Plaće (Bruto)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D04719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380.000,00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E87233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380.000,00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15FFCE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254.830,00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77168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67,06</w:t>
                  </w:r>
                </w:p>
              </w:tc>
            </w:tr>
            <w:tr w:rsidR="0067337D" w:rsidRPr="0067337D" w14:paraId="689DA78A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FA0874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 xml:space="preserve">     3111 Plaće za redovan rad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C71B5E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380.000,00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5D6C4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380.000,00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80F296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8B3E67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27C63712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331557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312 Ostali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6A790A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64AD1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50F6B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254.830,00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716910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42,47</w:t>
                  </w:r>
                </w:p>
              </w:tc>
            </w:tr>
            <w:tr w:rsidR="0067337D" w:rsidRPr="0067337D" w14:paraId="3F509EBA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A3B879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3121 Ostali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8CE058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B6B2C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F578F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254.830,00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52ECBE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42,47</w:t>
                  </w:r>
                </w:p>
              </w:tc>
            </w:tr>
            <w:tr w:rsidR="0067337D" w:rsidRPr="0067337D" w14:paraId="5E9207CC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12E6288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 RASHODI ZA NABAVU NEFINANCIJSKE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22AE810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1B9931F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5F1F196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471DD57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5BB4D94F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341FC5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 xml:space="preserve">41 Rashodi za nabavu </w:t>
                  </w:r>
                  <w:proofErr w:type="spellStart"/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neproizvedene</w:t>
                  </w:r>
                  <w:proofErr w:type="spellEnd"/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 xml:space="preserve"> dugotrajne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7A90A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A0BA0C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B2474F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0A742A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46AA3F60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401810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412 Nematerijalna imovina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8C0589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61276C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D63DB2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ADA603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6A49AF42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C4E297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4124 Ostala prava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D99305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8E0545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1108C8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EC321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5E705860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7D570B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4 Prihodi za posebne namjene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252BC8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21.042.963,00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B16836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21.042.963,00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9BB8E10" w14:textId="68C34AF6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7.926.037,3</w:t>
                  </w:r>
                  <w:r w:rsidR="00F9494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1B45C3A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37,67</w:t>
                  </w:r>
                </w:p>
              </w:tc>
            </w:tr>
            <w:tr w:rsidR="0067337D" w:rsidRPr="0067337D" w14:paraId="576CDF4D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16FB523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43 Ostali prihodi za posebne namjene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28EAF3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21.042.963,00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6E4047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21.042.963,00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48CAB11" w14:textId="6BB2D86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7.926.037,3</w:t>
                  </w:r>
                  <w:r w:rsidR="00F9494E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38B70A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37,67</w:t>
                  </w:r>
                </w:p>
              </w:tc>
            </w:tr>
            <w:tr w:rsidR="0067337D" w:rsidRPr="0067337D" w14:paraId="460D018A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06BF6EC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7908BD8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18.027.963,00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5F5BAE9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18.027.963,00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5B45F33B" w14:textId="43A067A5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6.562.141,9</w:t>
                  </w:r>
                  <w:r w:rsidR="00F9494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2590FB7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36,40</w:t>
                  </w:r>
                </w:p>
              </w:tc>
            </w:tr>
            <w:tr w:rsidR="0067337D" w:rsidRPr="0067337D" w14:paraId="236640CA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C00F32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B7C3DB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9.390.900,00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85756C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9.390.900,00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9A952A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4.603.798,93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FD4D7C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49,02</w:t>
                  </w:r>
                </w:p>
              </w:tc>
            </w:tr>
            <w:tr w:rsidR="0067337D" w:rsidRPr="0067337D" w14:paraId="33C8CB70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4D03D0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311 Plaće (Bruto)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3C31A5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7.507.000,00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ED6C77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7.507.000,00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0AFC34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3.896.314,57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1E25AF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51,90</w:t>
                  </w:r>
                </w:p>
              </w:tc>
            </w:tr>
            <w:tr w:rsidR="0067337D" w:rsidRPr="0067337D" w14:paraId="43AD7FEB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315E6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3111 Plaće za redovan rad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FE8F2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7.447.000,00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1C66B7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7.447.000,00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41572B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3.896.314,57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DEE96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52,32</w:t>
                  </w:r>
                </w:p>
              </w:tc>
            </w:tr>
            <w:tr w:rsidR="0067337D" w:rsidRPr="0067337D" w14:paraId="52756928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11303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3112 Plaće u naravi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874742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6987D2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305B5C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D1B7C1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0281DE0A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D5010D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312 Ostali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3A3559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596.000,00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C162B3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596.000,00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9839AE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56.359,89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8DAF1F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9,46</w:t>
                  </w:r>
                </w:p>
              </w:tc>
            </w:tr>
            <w:tr w:rsidR="0067337D" w:rsidRPr="0067337D" w14:paraId="1F53ECEC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B2FCD6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3121 Ostali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3E86D0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596.000,00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6AB3FE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596.000,00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BFF1C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56.359,89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8AC916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9,46</w:t>
                  </w:r>
                </w:p>
              </w:tc>
            </w:tr>
            <w:tr w:rsidR="0067337D" w:rsidRPr="0067337D" w14:paraId="6D70015D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1B4E9E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lastRenderedPageBreak/>
                    <w:t>313 Doprinosi na plaće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47E50C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1.287.900,00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CECF67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1.287.900,00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9B84B2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651.124,47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E29320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50,56</w:t>
                  </w:r>
                </w:p>
              </w:tc>
            </w:tr>
            <w:tr w:rsidR="0067337D" w:rsidRPr="0067337D" w14:paraId="5DD57AB7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CF1450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3132 Doprinosi za obvezno zdravstveno osiguranje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EF2A55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1.287.900,00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DBED00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1.287.900,00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C4078D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651.124,47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067813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50,56</w:t>
                  </w:r>
                </w:p>
              </w:tc>
            </w:tr>
            <w:tr w:rsidR="0067337D" w:rsidRPr="0067337D" w14:paraId="0F7CE4C6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1D1A6D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 Materijalni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2FAFA5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6.062.063,00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163EE0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6.062.063,00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1B00C89" w14:textId="6F17F336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1.909.779,1</w:t>
                  </w:r>
                  <w:r w:rsidR="00F9494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DDDD3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31,50</w:t>
                  </w:r>
                </w:p>
              </w:tc>
            </w:tr>
            <w:tr w:rsidR="0067337D" w:rsidRPr="0067337D" w14:paraId="0C7AECC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561263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321 Naknade troškova zaposlenima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B04053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415.263,00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448E4C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415.263,00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B7D58F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174.074,54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2CA0DA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41,92</w:t>
                  </w:r>
                </w:p>
              </w:tc>
            </w:tr>
            <w:tr w:rsidR="0067337D" w:rsidRPr="0067337D" w14:paraId="001D918C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2D9723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3211 Službena putovanja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AFF9A7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109.263,00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AD5DC6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109.263,00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9759AC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70.695,56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FBFE76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64,70</w:t>
                  </w:r>
                </w:p>
              </w:tc>
            </w:tr>
            <w:tr w:rsidR="0067337D" w:rsidRPr="0067337D" w14:paraId="71F41D1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96558A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3212 Naknade za prijevoz, za rad na terenu i odvojeni život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006489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246.000,00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1AEBB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246.000,00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FD1782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93.906,13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1FC2A6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38,17</w:t>
                  </w:r>
                </w:p>
              </w:tc>
            </w:tr>
            <w:tr w:rsidR="0067337D" w:rsidRPr="0067337D" w14:paraId="09CF088B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D0BF90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3213 Stručno usavršavanje zaposlenika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F5E6CE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483783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2A86BB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9.472,85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23A189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18,95</w:t>
                  </w:r>
                </w:p>
              </w:tc>
            </w:tr>
            <w:tr w:rsidR="0067337D" w:rsidRPr="0067337D" w14:paraId="110ECBA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687773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3214 Ostale naknade troškova zaposlenima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5F65F9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7BD881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D19727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4489F2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44581832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FA689E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322 Rashodi za materijal i energiju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3050F0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1.244.300,00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41F3F1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1.244.300,00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DC509C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280.067,25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B14499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22,51</w:t>
                  </w:r>
                </w:p>
              </w:tc>
            </w:tr>
            <w:tr w:rsidR="0067337D" w:rsidRPr="0067337D" w14:paraId="7D980F9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2A5170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3221 Uredski materijal i ostali materijalni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271FBE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119.500,00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D8BC6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119.500,00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ABFDDA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29.965,64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DA8537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25,08</w:t>
                  </w:r>
                </w:p>
              </w:tc>
            </w:tr>
            <w:tr w:rsidR="0067337D" w:rsidRPr="0067337D" w14:paraId="353CC4FE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D9A251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3222 Materijal i sirovine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D8E91B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1780A1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527150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5.991,96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75F7C9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2,40</w:t>
                  </w:r>
                </w:p>
              </w:tc>
            </w:tr>
            <w:tr w:rsidR="0067337D" w:rsidRPr="0067337D" w14:paraId="6077F9B9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75E06F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3223 Energija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D3DD82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395.000,00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89ACA8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395.000,00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578B7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107.601,28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A8DE43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27,24</w:t>
                  </w:r>
                </w:p>
              </w:tc>
            </w:tr>
            <w:tr w:rsidR="0067337D" w:rsidRPr="0067337D" w14:paraId="4F0A1D2F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5B42AC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3224 Materijal i dijelovi za tekuće i investicijsko održavanje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BDB4A0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149.800,00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6B3A7B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149.800,00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535E1A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43.698,01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F1EE37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29,17</w:t>
                  </w:r>
                </w:p>
              </w:tc>
            </w:tr>
            <w:tr w:rsidR="0067337D" w:rsidRPr="0067337D" w14:paraId="1353DD68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20E67B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3225 Sitni inventar i auto gume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DACE66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D1046A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474305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22.658,60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86F5D1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28,32</w:t>
                  </w:r>
                </w:p>
              </w:tc>
            </w:tr>
            <w:tr w:rsidR="0067337D" w:rsidRPr="0067337D" w14:paraId="13B856FE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361974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3227 Službena, radna i zaštitna odjeća i obuća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1F556F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16D35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B7A47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70.151,76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A2DA24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28,06</w:t>
                  </w:r>
                </w:p>
              </w:tc>
            </w:tr>
            <w:tr w:rsidR="0067337D" w:rsidRPr="0067337D" w14:paraId="33564575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1EDFAC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323 Rashodi za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BAA07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3.923.100,00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FAA34C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3.923.100,00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FB8217F" w14:textId="66189D1B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1.324.490,1</w:t>
                  </w:r>
                  <w:r w:rsidR="00F9494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5E9BF2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33,76</w:t>
                  </w:r>
                </w:p>
              </w:tc>
            </w:tr>
            <w:tr w:rsidR="0067337D" w:rsidRPr="0067337D" w14:paraId="08755D6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FB365A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3231 Usluge telefona, pošte i prijevoza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04EC04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1.394.000,00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83462F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1.394.000,00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CC5E75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148.992,49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F49ACC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10,69</w:t>
                  </w:r>
                </w:p>
              </w:tc>
            </w:tr>
            <w:tr w:rsidR="0067337D" w:rsidRPr="0067337D" w14:paraId="704B719A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8C0FF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3232 Usluge tekućeg i investicijskog održavanja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D4DDD7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F34CF9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80C3BF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486.269,31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864DBA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97,25</w:t>
                  </w:r>
                </w:p>
              </w:tc>
            </w:tr>
            <w:tr w:rsidR="0067337D" w:rsidRPr="0067337D" w14:paraId="546812C9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521C4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3233 Usluge promidžbe i informiranja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E13A90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3487E8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F2C081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166.276,91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73F59E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41,57</w:t>
                  </w:r>
                </w:p>
              </w:tc>
            </w:tr>
            <w:tr w:rsidR="0067337D" w:rsidRPr="0067337D" w14:paraId="026DEABD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7A5813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3234 Komunalne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35AC67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149.200,00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C7B9E0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149.200,00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D69C57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41.042,85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DC8263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27,51</w:t>
                  </w:r>
                </w:p>
              </w:tc>
            </w:tr>
            <w:tr w:rsidR="0067337D" w:rsidRPr="0067337D" w14:paraId="1961026B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DD30C5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3235 Zakupnine i najamnine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48CF12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E0C083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EA4BFE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140.796,83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164215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46,93</w:t>
                  </w:r>
                </w:p>
              </w:tc>
            </w:tr>
            <w:tr w:rsidR="0067337D" w:rsidRPr="0067337D" w14:paraId="237A4900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A6929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3236 Zdravstvene i veterinarske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652B53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E001E8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5A02FC9" w14:textId="69C43C53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9.842,1</w:t>
                  </w:r>
                  <w:r w:rsidR="00F9494E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D55E68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49,21</w:t>
                  </w:r>
                </w:p>
              </w:tc>
            </w:tr>
            <w:tr w:rsidR="0067337D" w:rsidRPr="0067337D" w14:paraId="0372F096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54F4B0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3237 Intelektualne i osobne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DFF51E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559.900,00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6F68B8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559.900,00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B54585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173.735,19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DCE03C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31,03</w:t>
                  </w:r>
                </w:p>
              </w:tc>
            </w:tr>
            <w:tr w:rsidR="0067337D" w:rsidRPr="0067337D" w14:paraId="0ADDD4BF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B846C6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3238 Računalne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2408BC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140419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920287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48.314,10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1BC964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24,16</w:t>
                  </w:r>
                </w:p>
              </w:tc>
            </w:tr>
            <w:tr w:rsidR="0067337D" w:rsidRPr="0067337D" w14:paraId="6AA54B4E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B376AA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3239 Ostale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8030BD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7E91CA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4FE0B3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109.220,33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100115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27,31</w:t>
                  </w:r>
                </w:p>
              </w:tc>
            </w:tr>
            <w:tr w:rsidR="0067337D" w:rsidRPr="0067337D" w14:paraId="745E6D00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246EB5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324 Naknade troškova osobama izvan radnog odnosa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5BF5A0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8EE585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AC02DF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AF47B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48A71DE6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88841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3241 Naknade troškova osobama izvan radnog odnosa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3F961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F6E756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B9AEA5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11C604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5F4DD967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E32D5A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329 Ostali nespomenuti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F3C0E8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439.400,00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E05881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439.400,00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541AAC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131.147,26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3423DE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29,85</w:t>
                  </w:r>
                </w:p>
              </w:tc>
            </w:tr>
            <w:tr w:rsidR="0067337D" w:rsidRPr="0067337D" w14:paraId="2316CFF6" w14:textId="77777777" w:rsidTr="0067337D">
              <w:trPr>
                <w:trHeight w:val="255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89A226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3291 Naknade za rad predstavničkih i izvršnih tijela, povjerenstava i slično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25B48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D8BC8A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69E9E0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6.521,12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E21D5D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21,74</w:t>
                  </w:r>
                </w:p>
              </w:tc>
            </w:tr>
            <w:tr w:rsidR="0067337D" w:rsidRPr="0067337D" w14:paraId="5E00743F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D34E54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3292 Premije osiguranja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14C0D7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DAD44B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B31894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51.477,01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66B509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51,48</w:t>
                  </w:r>
                </w:p>
              </w:tc>
            </w:tr>
            <w:tr w:rsidR="0067337D" w:rsidRPr="0067337D" w14:paraId="6AE03EF6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2786D3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3293 Reprezentacija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10329D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119.400,00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168891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119.400,00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260714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25.561,15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8E5970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21,41</w:t>
                  </w:r>
                </w:p>
              </w:tc>
            </w:tr>
            <w:tr w:rsidR="0067337D" w:rsidRPr="0067337D" w14:paraId="51D23C6C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7DC458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3294 Članarine i norme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863FDB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F09661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69E6FE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1.739,58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7389C5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8,70</w:t>
                  </w:r>
                </w:p>
              </w:tc>
            </w:tr>
            <w:tr w:rsidR="0067337D" w:rsidRPr="0067337D" w14:paraId="1D06AC0A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964E97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3295 Pristojbe i naknade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F5CE86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4C620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F5A743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39.715,93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289C7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39,72</w:t>
                  </w:r>
                </w:p>
              </w:tc>
            </w:tr>
            <w:tr w:rsidR="0067337D" w:rsidRPr="0067337D" w14:paraId="068D041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402C15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3296 Troškovi sudskih postupaka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8BF176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5F2394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88CA86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5.882,47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725F74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29,41</w:t>
                  </w:r>
                </w:p>
              </w:tc>
            </w:tr>
            <w:tr w:rsidR="0067337D" w:rsidRPr="0067337D" w14:paraId="1C6FA387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AE1B18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lastRenderedPageBreak/>
                    <w:t>3299 Ostali nespomenuti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F6562F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F92513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B42300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538505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0,50</w:t>
                  </w:r>
                </w:p>
              </w:tc>
            </w:tr>
            <w:tr w:rsidR="0067337D" w:rsidRPr="0067337D" w14:paraId="019C55CA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1E13E2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34 Financijski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1AE67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807495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210.000,00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9508E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25.413,88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283B3F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12,10</w:t>
                  </w:r>
                </w:p>
              </w:tc>
            </w:tr>
            <w:tr w:rsidR="0067337D" w:rsidRPr="0067337D" w14:paraId="05B312EA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93E34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343 Ostali financijski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583CE4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8E304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210.000,00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5DFA2A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25.413,88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F6FF91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12,10</w:t>
                  </w:r>
                </w:p>
              </w:tc>
            </w:tr>
            <w:tr w:rsidR="0067337D" w:rsidRPr="0067337D" w14:paraId="7835A182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E959B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3431 Bankarske usluge i usluge platnog prometa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023E95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CBAC3D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3F7A27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8.382,23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E1F776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16,76</w:t>
                  </w:r>
                </w:p>
              </w:tc>
            </w:tr>
            <w:tr w:rsidR="0067337D" w:rsidRPr="0067337D" w14:paraId="42E9F614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C81DD4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3432 Negativne tečajne razlike i razlike zbog primjenjive valutne klauzule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D13D48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CCF4B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DD4063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A00272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2A8CE168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49235F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3433 Zatezne kamate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82DBA6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D558BB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5DDB41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17.031,65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528A3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212,90</w:t>
                  </w:r>
                </w:p>
              </w:tc>
            </w:tr>
            <w:tr w:rsidR="0067337D" w:rsidRPr="0067337D" w14:paraId="129F5197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9B0179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 xml:space="preserve">3434 Ostali </w:t>
                  </w:r>
                  <w:proofErr w:type="spellStart"/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nepomenuti</w:t>
                  </w:r>
                  <w:proofErr w:type="spellEnd"/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 xml:space="preserve"> financijski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384E5C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C6FBD8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5C629A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E39989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54095373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509CFF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36 Pomoći dane u inozemstvo i unutar općeg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47B325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2.065.000,00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46C24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2.065.000,00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69881C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8.498,16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3B8650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0,41</w:t>
                  </w:r>
                </w:p>
              </w:tc>
            </w:tr>
            <w:tr w:rsidR="0067337D" w:rsidRPr="0067337D" w14:paraId="5F077480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4D357A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363 Pomoći unutar općeg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AD6FC6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1.315.000,00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49D1D7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1.315.000,00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A7FF3E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BC11E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3A065BB9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C0D4B6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3631 Tekuće pomoći unutar općeg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13C19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1.300.000,00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F740C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1.300.000,00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57E157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109A4D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5E93D397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0F98CD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3632 Kapitalne pomoći unutar općeg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09CFCA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94953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C2E1C7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006591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7BDDBE4B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8292FB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366 Pomoći proračunskim korisnicima drugih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F18032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73DC53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7C289F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6.636,14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D34C10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386EEE69" w14:textId="77777777" w:rsidTr="0067337D">
              <w:trPr>
                <w:trHeight w:val="255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4DA4F8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3661 Tekuće pomoći proračunskim korisnicima drugih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6292FA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15019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1E9D57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6.636,14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2B016F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3C4369A8" w14:textId="77777777" w:rsidTr="0067337D">
              <w:trPr>
                <w:trHeight w:val="255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2BCFE5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3662 Kapitalne pomoći proračunskim korisnicima drugih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7763DB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E2BC90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0CC59D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A9EE1A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1E76F03F" w14:textId="77777777" w:rsidTr="0067337D">
              <w:trPr>
                <w:trHeight w:val="263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01392F7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369 Prijenosi između proračunskih korisnika istog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9DED57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4B07CB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AD643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1.862,02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3E9769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0,27</w:t>
                  </w:r>
                </w:p>
              </w:tc>
            </w:tr>
            <w:tr w:rsidR="0067337D" w:rsidRPr="0067337D" w14:paraId="5306FA50" w14:textId="77777777" w:rsidTr="0067337D">
              <w:trPr>
                <w:trHeight w:val="255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3EB6A9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3691 Tekući prijenosi između proračunskih korisnika istog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965FF0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8F64C6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BDE95A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1.862,02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51F763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0,27</w:t>
                  </w:r>
                </w:p>
              </w:tc>
            </w:tr>
            <w:tr w:rsidR="0067337D" w:rsidRPr="0067337D" w14:paraId="1E98F5EE" w14:textId="77777777" w:rsidTr="0067337D">
              <w:trPr>
                <w:trHeight w:val="255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DBDC34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 xml:space="preserve">37 Naknade građanima i kućanstvima na temelju osiguranja i </w:t>
                  </w:r>
                  <w:proofErr w:type="spellStart"/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dr.naknade</w:t>
                  </w:r>
                  <w:proofErr w:type="spellEnd"/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3F94A1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D9B4EC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A29477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CA8462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2024C17E" w14:textId="77777777" w:rsidTr="0067337D">
              <w:trPr>
                <w:trHeight w:val="263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D1F6D2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372 Ostale naknade građanima i kućanstvima iz proračuna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9AC164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9DFDE8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C691CD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78338B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2D86F67A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D1FCAE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3721 Naknade građanima i kućanstvima u novcu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7B7C86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08ED72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E0C98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4A15D5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7D6617FB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DAA635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38 Ostali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CB0C85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503322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6A8265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14.651,78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BD38A1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4,88</w:t>
                  </w:r>
                </w:p>
              </w:tc>
            </w:tr>
            <w:tr w:rsidR="0067337D" w:rsidRPr="0067337D" w14:paraId="30F1638E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0B2E0D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381 Tekuće donacije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969285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23CA7C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BFE77C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C4512D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6716C142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7850C2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3811 Tekuće donacije u novcu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62F747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945D6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7CF7C7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DE7222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00D98A27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F00E18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383 Kazne, penali i naknade štete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FDA09F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ABCE22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B3BFBE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14.651,78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73CC18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9,77</w:t>
                  </w:r>
                </w:p>
              </w:tc>
            </w:tr>
            <w:tr w:rsidR="0067337D" w:rsidRPr="0067337D" w14:paraId="0ADEE936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495A46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3831 Naknade šteta pravnim i fizičkim osobama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BD1D48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BD2DF5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3D03B1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14.651,78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676E93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14,65</w:t>
                  </w:r>
                </w:p>
              </w:tc>
            </w:tr>
            <w:tr w:rsidR="0067337D" w:rsidRPr="0067337D" w14:paraId="3C3AADDD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4A56F7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3831 Ugovorne kazne i ostale naknade šteta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9B31B6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72FF89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660AA8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7A9F3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6DD789F3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322CC98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 RASHODI ZA NABAVU NEFINANCIJSKE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7B3D375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3.015.000,00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7681980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3.015.000,00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64B2ACB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1.363.895,37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bottom"/>
                  <w:hideMark/>
                </w:tcPr>
                <w:p w14:paraId="3599F1A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45,24</w:t>
                  </w:r>
                </w:p>
              </w:tc>
            </w:tr>
            <w:tr w:rsidR="0067337D" w:rsidRPr="0067337D" w14:paraId="0503E580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0D40EA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 xml:space="preserve">41 Rashodi za nabavu </w:t>
                  </w:r>
                  <w:proofErr w:type="spellStart"/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neproizvedene</w:t>
                  </w:r>
                  <w:proofErr w:type="spellEnd"/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 xml:space="preserve"> dugotrajne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2434C1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ACA573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F807D8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463.439,14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F5D2FE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54,52</w:t>
                  </w:r>
                </w:p>
              </w:tc>
            </w:tr>
            <w:tr w:rsidR="0067337D" w:rsidRPr="0067337D" w14:paraId="5BF17982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188098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4111 Zemljište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AE2A2C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38BE6F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9277C6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DC2E8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78AA5093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9CF5E3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4123 Licence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35E7D1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AF085C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84A3C7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2.721,60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2FEEBD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5,44</w:t>
                  </w:r>
                </w:p>
              </w:tc>
            </w:tr>
            <w:tr w:rsidR="0067337D" w:rsidRPr="0067337D" w14:paraId="50341BE4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8E1FD7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4124 Ostala prava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0C5344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872E87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B4D46A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460.717,54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E9BF5D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76,79</w:t>
                  </w:r>
                </w:p>
              </w:tc>
            </w:tr>
            <w:tr w:rsidR="0067337D" w:rsidRPr="0067337D" w14:paraId="41D8F43E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A1ED64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4124 Ostala nematerijalna imovina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C0FB44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183776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B87CCE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3CCC61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277716A6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B1EC0B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 Rashodi za nabavu proizvedene dugotrajne imovine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5D436A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1.815.000,00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941560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1.815.000,00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A8ED8B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870.265,00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51D7DF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47,95</w:t>
                  </w:r>
                </w:p>
              </w:tc>
            </w:tr>
            <w:tr w:rsidR="0067337D" w:rsidRPr="0067337D" w14:paraId="45A8F96E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EAC999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421 Građevinski objekti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E8C69E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BC6AF8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048E99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2.787,18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836495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0,70</w:t>
                  </w:r>
                </w:p>
              </w:tc>
            </w:tr>
            <w:tr w:rsidR="0067337D" w:rsidRPr="0067337D" w14:paraId="3B34464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E75D4D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4212 Poslovni objekti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9731AD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FD88E2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1D354C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368168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74659A7E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5F77FAF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lastRenderedPageBreak/>
                    <w:t>4213 Ceste, željeznice i ostali  prometni objekti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8E396E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E21904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8A81A7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40CA6B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65941229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8E4BAF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4214 Ostali građevinski objekti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9E4DAC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BA946A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807559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2.787,18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C6B908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1,86</w:t>
                  </w:r>
                </w:p>
              </w:tc>
            </w:tr>
            <w:tr w:rsidR="0067337D" w:rsidRPr="0067337D" w14:paraId="648227FF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C89928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422 Postrojenja i oprema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4C7F50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470.000,00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60FE43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470.000,00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AB3B1B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277.354,58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AB5336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59,01</w:t>
                  </w:r>
                </w:p>
              </w:tc>
            </w:tr>
            <w:tr w:rsidR="0067337D" w:rsidRPr="0067337D" w14:paraId="3FEAF38F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0454E3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4221 Uredska oprema i namještaj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DD628A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BE2BA5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41307A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182.329,53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91A458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121,55</w:t>
                  </w:r>
                </w:p>
              </w:tc>
            </w:tr>
            <w:tr w:rsidR="0067337D" w:rsidRPr="0067337D" w14:paraId="321BFF90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38E9DC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4222 Komunikacijska oprema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147933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1E6859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3A07E1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880,00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F1274E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1,76</w:t>
                  </w:r>
                </w:p>
              </w:tc>
            </w:tr>
            <w:tr w:rsidR="0067337D" w:rsidRPr="0067337D" w14:paraId="39D94EFB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72806F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4223 Oprema za održavanje i zaštitu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59FE86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120.000,00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A48E8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120.000,00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DFC2D8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1.279,28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E6B6A4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1,07</w:t>
                  </w:r>
                </w:p>
              </w:tc>
            </w:tr>
            <w:tr w:rsidR="0067337D" w:rsidRPr="0067337D" w14:paraId="2FBE426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0B7D29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4224 Medicinska i laboratorijska oprema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715E74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E56907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9F21BB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81E5C0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01CFA24A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1054D0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4225 Instrumenti, uređaji i strojevi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369759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FD1E0F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1B0A19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0344F3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3EAC917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59191E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 xml:space="preserve">     4226 Sportska i glazbena oprema   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C980EE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080DB0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5EB7D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EBE897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09658AC2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D54758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4227 Uređaji, strojevi i oprema za ostale namjene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C2D1E2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9EA5F8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F5EF7E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92.865,77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9597EE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185,73</w:t>
                  </w:r>
                </w:p>
              </w:tc>
            </w:tr>
            <w:tr w:rsidR="0067337D" w:rsidRPr="0067337D" w14:paraId="2C67E916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788E21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 xml:space="preserve">423 Prijevozna sredstva 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957176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485.000,00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D298BF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485.000,00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DEBF3A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239.674,47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FEE19F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49,42</w:t>
                  </w:r>
                </w:p>
              </w:tc>
            </w:tr>
            <w:tr w:rsidR="0067337D" w:rsidRPr="0067337D" w14:paraId="4D7ED4AB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965B33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4231 Prijevozna sredstva u cestovnom prijevozu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D99A7C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185.000,00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AC6C38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185.000,00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648E9E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130.774,47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641985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70,69</w:t>
                  </w:r>
                </w:p>
              </w:tc>
            </w:tr>
            <w:tr w:rsidR="0067337D" w:rsidRPr="0067337D" w14:paraId="1670172E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5B1767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4233 Prijevozna sredstva u pomorskom i riječnom prometu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41AA4F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D37B3F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CFF8D2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108.900,00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D5FDA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36,30</w:t>
                  </w:r>
                </w:p>
              </w:tc>
            </w:tr>
            <w:tr w:rsidR="0067337D" w:rsidRPr="0067337D" w14:paraId="4C96293D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653605C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424 Knjige, umjetnička djela i ostale izložbene vrijednosti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4882A0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6C1827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110.000,00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8B62DD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8.000,00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008CC6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7,27</w:t>
                  </w:r>
                </w:p>
              </w:tc>
            </w:tr>
            <w:tr w:rsidR="0067337D" w:rsidRPr="0067337D" w14:paraId="70254FF8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7B8EE3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4242 Umjetnička djela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C98754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FD7D37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D8A90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3D8D30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5ADD7317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279CA6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4244 Ostale nespomenute izložbene vrijednosti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5571EF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4B0CF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C3D650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8.000,00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A599CB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8,00</w:t>
                  </w:r>
                </w:p>
              </w:tc>
            </w:tr>
            <w:tr w:rsidR="0067337D" w:rsidRPr="0067337D" w14:paraId="07E7F61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C95212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426 Nematerijalna proizvedena imovina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024DEC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18378C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BBDF14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342.448,77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0DEA18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97,84</w:t>
                  </w:r>
                </w:p>
              </w:tc>
            </w:tr>
            <w:tr w:rsidR="0067337D" w:rsidRPr="0067337D" w14:paraId="49C175D3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8D78FD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4262 Ulaganja u računalne programe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0B6F92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680841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B59228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254.938,07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8F692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254,94</w:t>
                  </w:r>
                </w:p>
              </w:tc>
            </w:tr>
            <w:tr w:rsidR="0067337D" w:rsidRPr="0067337D" w14:paraId="165B1F1D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DD2012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4263 Umjetnička, literarna i znanstvena djela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C825B4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FF3A7A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1737FB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6F8803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60EAACD0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0C5554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4264 Ostala nematerijalna proizvedena imovina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D666CE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D6C8C0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8456FC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87.510,70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ADD900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43,76</w:t>
                  </w:r>
                </w:p>
              </w:tc>
            </w:tr>
            <w:tr w:rsidR="0067337D" w:rsidRPr="0067337D" w14:paraId="5F12DC3B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5F48CB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45 Rashodi za dodatna ulaganja na nefinancijskoj imovini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1C72A9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0B8A73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6F4893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30.191,23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E416D8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8,63</w:t>
                  </w:r>
                </w:p>
              </w:tc>
            </w:tr>
            <w:tr w:rsidR="0067337D" w:rsidRPr="0067337D" w14:paraId="6C0AB60D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7197B2B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451 Dodatna ulaganja na građevinskim objektima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3AF731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E0039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8F597F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30.191,23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0D37A6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8,63</w:t>
                  </w:r>
                </w:p>
              </w:tc>
            </w:tr>
            <w:tr w:rsidR="0067337D" w:rsidRPr="0067337D" w14:paraId="395DE0DB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1F6F04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4511 Dodatna ulaganja na građevinskim objektima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96BDE3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39579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4E1699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29.490,00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69C686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19,66</w:t>
                  </w:r>
                </w:p>
              </w:tc>
            </w:tr>
            <w:tr w:rsidR="0067337D" w:rsidRPr="0067337D" w14:paraId="2CF853C9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187F63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4521 Dodatna ulaganja na postrojenjima i opremi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7FC9E5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152BEE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E727B3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8ED919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6352B34D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DB3036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4531 Dodatna ulaganja na prijevoznim sredstvima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795BDB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69CCE2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89DADD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701,23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423251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0,47</w:t>
                  </w:r>
                </w:p>
              </w:tc>
            </w:tr>
            <w:tr w:rsidR="0067337D" w:rsidRPr="0067337D" w14:paraId="48335DF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6B589E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5 Pomoći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2D78699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757.037,00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F76A2E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757.037,00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0553B5A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76DBE8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330338C6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5A7CE2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51 Pomoći EU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419D763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400,00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50CC8B6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400,00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520D829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6B583C0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0AC422E6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1DA5DD2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7F22A14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6E91CE6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6AA8F6E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6F14C48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6787380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17B795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 Materijalni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8EAE9C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716613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09C352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3AEE4A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684C9545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97C796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321 Naknade troškova zaposlenima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4B3D3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9238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200,00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55C29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B1824E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64317FDC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D0772D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3211 Službena putovanja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CECA0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52A23E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B0EE5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AB4C68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5191F1F3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A03120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323 Rashodi za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D89BF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E36C3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BBDAB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EC1882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42C84F75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6FBDBA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3231 Usluge telefona, pošte i prijevoza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278B5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319360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39EDC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E63B94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21481D59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9D13D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329 Ostali nespomenuti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0F253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14012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7D224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F98502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304F96BA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69A9AC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lastRenderedPageBreak/>
                    <w:t>3293 Reprezentacija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42F932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02D7CD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1A072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D909FC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2BCF444E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78561ED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Izvor: 52 Ostale pomoći i darovnice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1AE9B33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756.637,00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128DE75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756.637,00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68F055E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B4C6E7"/>
                  <w:vAlign w:val="center"/>
                  <w:hideMark/>
                </w:tcPr>
                <w:p w14:paraId="671BAD2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0F6E796B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497C3D9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3E53170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756.637,00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14A8481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756.637,00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16E218D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9E1F2"/>
                  <w:vAlign w:val="center"/>
                  <w:hideMark/>
                </w:tcPr>
                <w:p w14:paraId="7AE0717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6654522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C34A98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B59827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89.100,00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3EE7C2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89.100,00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F1CA54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8FC68F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3D0B7738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DF99D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311 Plaće (Bruto)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C1EF0B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73.000,00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050A6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73.000,00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6DB3B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1935AB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584A3E87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E9724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3111 Plaće za redovan rad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5D25DA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73.000,00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25F57F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73.000,00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BF3E9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9D194E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096A43E9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34DAE5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312 Ostali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27002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3D8DE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7946B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49B6B2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717AF85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CBBF0A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3121 Ostali rashodi za zaposlene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0AFFB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E0013C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03710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3146BD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6791EBFA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951F2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313 Doprinosi na plaće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D9126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12.100,00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A2ECB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12.100,00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5F8A9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354641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4800F910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416B32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3132 Doprinosi za obvezno zdravstveno osiguranje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E4D1F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12.100,00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658AE6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12.100,00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286B6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0AE410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4100DFB0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85FC70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 Materijalni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D627CA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667.537,00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655063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667.537,00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6DBFC8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074197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3A97F738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992426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321 Naknade troškova zaposlenima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B0A064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4.537,00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9F35E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4.537,00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8E462B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CAB16D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6CE7D41C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F3F34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3211 Službena putovanja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3C83BF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537,00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3B1387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537,00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0D0F15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AC89AC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77742FEC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14C1190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3212 Naknade za prijevoz, za rad na terenu i odvojeni život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EE9055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C7DD8F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2F9E5E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7F4DAA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52F9529A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F5F5DF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322 Rashodi za materijal i energiju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8A539B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5.700,00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5A482B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5.700,00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33780C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353DAA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74E70AC7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E2AE6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3221 Uredski materijal i ostali materijalni rashodi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04A1BD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61B8A5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997B12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B750FA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34FBA9B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E95779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3222 Materijal i sirovine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718D88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F36BD1A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01926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5A019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2B60D9CB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A9A8B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3223 Energija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8BB58C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649259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F33787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4A0E43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2D559A76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3D900E3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3224 Materijal i dijelovi za tekuće i investicijsko održavanje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A7E738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021EAB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200,00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0353F1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5C18D4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714823DC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813672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3225 Sitni inventar i auto gume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B69052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6F8908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8CD443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BEBC3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3BAD5B33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794957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323 Rashodi za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A381C9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646.800,00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5AE165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646.800,00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29BCBA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DE029B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455485F4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49087D3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3231 Usluge telefona, pošte i prijevoza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7B76A6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27955C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3DC3F6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37A492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41575A76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6A3AAF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3232 Usluge tekućeg i investicijskog održavanja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FE3CBC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600.000,00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10E8F8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600.000,00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6A41064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F15C5F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6DBAE55E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F36254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3233 Usluge promidžbe i informiranja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B40E86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420F94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0072F3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EAB53C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3DAADE45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5FE37B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3234 Komunalne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4AB548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BD7512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800,00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E5049E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930514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39F77853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F1DCFD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3237 Intelektualne i osobne usluge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5BC201D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D28AF4E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40.000,00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CDA3B1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B19059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7176889B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CFCA5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324 Naknade troškova osobama izvan radnog odnosa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F9147C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37CCDD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5F21590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4332085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0433FB8C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B639971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3241 Naknade troškova osobama izvan radnog odnosa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7027D0F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5848FC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10.000,00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298C8B4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FC7EF4C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6E67A861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945E18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2"/>
                    <w:jc w:val="lef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329 Ostali nespomenuti rashodi poslovanja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68E9F6AB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2A8FD46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500,00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80949A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775AB89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1"/>
                    <w:jc w:val="right"/>
                    <w:textAlignment w:val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  <w:tr w:rsidR="0067337D" w:rsidRPr="0067337D" w14:paraId="49DCF9BB" w14:textId="77777777" w:rsidTr="0067337D">
              <w:trPr>
                <w:trHeight w:val="270"/>
              </w:trPr>
              <w:tc>
                <w:tcPr>
                  <w:tcW w:w="771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9B38E72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200" w:firstLine="400"/>
                    <w:jc w:val="lef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3293 Reprezentacija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86C72F9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500,00</w:t>
                  </w:r>
                </w:p>
              </w:tc>
              <w:tc>
                <w:tcPr>
                  <w:tcW w:w="18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13837FD8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500,00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36CC3C97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14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543D2C65" w14:textId="77777777" w:rsidR="0067337D" w:rsidRPr="0067337D" w:rsidRDefault="0067337D" w:rsidP="0067337D">
                  <w:pPr>
                    <w:overflowPunct/>
                    <w:autoSpaceDE/>
                    <w:autoSpaceDN/>
                    <w:adjustRightInd/>
                    <w:spacing w:after="0"/>
                    <w:ind w:firstLineChars="100" w:firstLine="200"/>
                    <w:jc w:val="right"/>
                    <w:textAlignment w:val="auto"/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</w:pPr>
                  <w:r w:rsidRPr="0067337D">
                    <w:rPr>
                      <w:rFonts w:ascii="Arial" w:hAnsi="Arial" w:cs="Arial"/>
                      <w:color w:val="000000"/>
                      <w:sz w:val="20"/>
                      <w:lang w:val="hr-HR" w:eastAsia="hr-HR"/>
                    </w:rPr>
                    <w:t>0,00</w:t>
                  </w:r>
                </w:p>
              </w:tc>
            </w:tr>
          </w:tbl>
          <w:p w14:paraId="39585E99" w14:textId="77777777" w:rsidR="00F973D2" w:rsidRDefault="00F973D2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0E31D539" w14:textId="77777777" w:rsidR="00F973D2" w:rsidRDefault="00F973D2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  <w:p w14:paraId="28CDA3AE" w14:textId="77777777" w:rsidR="00F973D2" w:rsidRPr="00510584" w:rsidRDefault="00F973D2" w:rsidP="005105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  <w:lang w:val="hr-HR" w:eastAsia="hr-HR"/>
              </w:rPr>
            </w:pPr>
          </w:p>
        </w:tc>
      </w:tr>
    </w:tbl>
    <w:p w14:paraId="355E0D38" w14:textId="77777777" w:rsidR="006F2525" w:rsidRDefault="006F2525" w:rsidP="00E73417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noProof/>
          <w:sz w:val="28"/>
          <w:szCs w:val="28"/>
          <w:lang w:eastAsia="hr-HR"/>
        </w:rPr>
        <w:sectPr w:rsidR="006F2525" w:rsidSect="00AD008A">
          <w:type w:val="continuous"/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14:paraId="742DDBC2" w14:textId="77777777" w:rsidR="00AD008A" w:rsidRDefault="00AD008A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b/>
          <w:noProof/>
          <w:sz w:val="28"/>
          <w:szCs w:val="28"/>
          <w:lang w:eastAsia="hr-HR"/>
        </w:rPr>
      </w:pPr>
      <w:r>
        <w:rPr>
          <w:b/>
          <w:noProof/>
          <w:sz w:val="28"/>
          <w:szCs w:val="28"/>
          <w:lang w:eastAsia="hr-HR"/>
        </w:rPr>
        <w:lastRenderedPageBreak/>
        <w:br w:type="page"/>
      </w:r>
    </w:p>
    <w:p w14:paraId="1E548715" w14:textId="77777777" w:rsidR="00AD008A" w:rsidRDefault="00AD008A" w:rsidP="00DE42F1">
      <w:pPr>
        <w:jc w:val="center"/>
        <w:rPr>
          <w:b/>
          <w:noProof/>
          <w:sz w:val="28"/>
          <w:szCs w:val="28"/>
          <w:lang w:eastAsia="hr-HR"/>
        </w:rPr>
        <w:sectPr w:rsidR="00AD008A" w:rsidSect="00AD008A">
          <w:type w:val="continuous"/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14:paraId="2BCEEFCC" w14:textId="77777777" w:rsidR="006B5409" w:rsidRDefault="006B5409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3CD21D4E" w14:textId="7EF2AF75" w:rsidR="00CA777A" w:rsidRPr="003030EC" w:rsidRDefault="00CA777A" w:rsidP="00DE42F1">
      <w:pPr>
        <w:jc w:val="center"/>
        <w:rPr>
          <w:b/>
          <w:noProof/>
          <w:sz w:val="28"/>
          <w:szCs w:val="28"/>
          <w:lang w:eastAsia="hr-HR"/>
        </w:rPr>
      </w:pPr>
      <w:r w:rsidRPr="003030EC">
        <w:rPr>
          <w:b/>
          <w:noProof/>
          <w:sz w:val="28"/>
          <w:szCs w:val="28"/>
          <w:lang w:eastAsia="hr-HR"/>
        </w:rPr>
        <w:t xml:space="preserve">OBRAZLOŽENJE OPĆEG DIJELA </w:t>
      </w:r>
      <w:r w:rsidR="002D6D8D">
        <w:rPr>
          <w:b/>
          <w:noProof/>
          <w:sz w:val="28"/>
          <w:szCs w:val="28"/>
          <w:lang w:eastAsia="hr-HR"/>
        </w:rPr>
        <w:t>POLU</w:t>
      </w:r>
      <w:r w:rsidRPr="003030EC">
        <w:rPr>
          <w:b/>
          <w:noProof/>
          <w:sz w:val="28"/>
          <w:szCs w:val="28"/>
          <w:lang w:eastAsia="hr-HR"/>
        </w:rPr>
        <w:t xml:space="preserve">GODIŠNJEG IZVJEŠTAJA O IZVRŠENJU FINANCIJSKOG PLANA JAVNE USTANOVE »NACIONALNI PARK </w:t>
      </w:r>
      <w:r w:rsidR="00CB09CA">
        <w:rPr>
          <w:b/>
          <w:noProof/>
          <w:sz w:val="28"/>
          <w:szCs w:val="28"/>
          <w:lang w:eastAsia="hr-HR"/>
        </w:rPr>
        <w:t>KRKA</w:t>
      </w:r>
      <w:r w:rsidRPr="003030EC">
        <w:rPr>
          <w:b/>
          <w:noProof/>
          <w:sz w:val="28"/>
          <w:szCs w:val="28"/>
          <w:lang w:eastAsia="hr-HR"/>
        </w:rPr>
        <w:t>« ZA 202</w:t>
      </w:r>
      <w:r w:rsidR="00DC46D3">
        <w:rPr>
          <w:b/>
          <w:noProof/>
          <w:sz w:val="28"/>
          <w:szCs w:val="28"/>
          <w:lang w:eastAsia="hr-HR"/>
        </w:rPr>
        <w:t>5</w:t>
      </w:r>
      <w:r w:rsidRPr="003030EC">
        <w:rPr>
          <w:b/>
          <w:noProof/>
          <w:sz w:val="28"/>
          <w:szCs w:val="28"/>
          <w:lang w:eastAsia="hr-HR"/>
        </w:rPr>
        <w:t>. GODINU</w:t>
      </w:r>
    </w:p>
    <w:p w14:paraId="63BB1C04" w14:textId="77777777" w:rsidR="002D00FE" w:rsidRDefault="002D00FE" w:rsidP="002D00FE">
      <w:pPr>
        <w:rPr>
          <w:noProof/>
          <w:color w:val="FF0000"/>
          <w:sz w:val="24"/>
          <w:szCs w:val="24"/>
          <w:lang w:eastAsia="hr-HR"/>
        </w:rPr>
      </w:pPr>
    </w:p>
    <w:p w14:paraId="1C2EA7C3" w14:textId="77777777" w:rsidR="006B5409" w:rsidRPr="003030EC" w:rsidRDefault="006B5409" w:rsidP="002D00FE">
      <w:pPr>
        <w:rPr>
          <w:noProof/>
          <w:color w:val="FF0000"/>
          <w:sz w:val="24"/>
          <w:szCs w:val="24"/>
          <w:lang w:eastAsia="hr-HR"/>
        </w:rPr>
      </w:pPr>
    </w:p>
    <w:p w14:paraId="44E6A34E" w14:textId="77777777" w:rsidR="005A4613" w:rsidRPr="003030EC" w:rsidRDefault="005A4613" w:rsidP="002D00FE">
      <w:pPr>
        <w:rPr>
          <w:b/>
          <w:noProof/>
          <w:sz w:val="24"/>
          <w:szCs w:val="24"/>
          <w:lang w:eastAsia="hr-HR"/>
        </w:rPr>
      </w:pPr>
      <w:r w:rsidRPr="003030EC">
        <w:rPr>
          <w:b/>
          <w:noProof/>
          <w:sz w:val="24"/>
          <w:szCs w:val="24"/>
          <w:lang w:eastAsia="hr-HR"/>
        </w:rPr>
        <w:t>PRIHODI</w:t>
      </w:r>
    </w:p>
    <w:p w14:paraId="5F13BB67" w14:textId="77777777" w:rsidR="00603EB2" w:rsidRPr="003030EC" w:rsidRDefault="00603EB2" w:rsidP="002D00FE">
      <w:pPr>
        <w:rPr>
          <w:i/>
          <w:noProof/>
          <w:sz w:val="24"/>
          <w:szCs w:val="24"/>
          <w:lang w:eastAsia="hr-HR"/>
        </w:rPr>
      </w:pPr>
    </w:p>
    <w:p w14:paraId="130956FB" w14:textId="77777777" w:rsidR="002D00FE" w:rsidRDefault="002F143E" w:rsidP="002D00FE">
      <w:pPr>
        <w:rPr>
          <w:i/>
          <w:noProof/>
          <w:sz w:val="24"/>
          <w:szCs w:val="24"/>
          <w:lang w:eastAsia="hr-HR"/>
        </w:rPr>
      </w:pPr>
      <w:r w:rsidRPr="003030EC">
        <w:rPr>
          <w:i/>
          <w:noProof/>
          <w:sz w:val="24"/>
          <w:szCs w:val="24"/>
          <w:lang w:eastAsia="hr-HR"/>
        </w:rPr>
        <w:t xml:space="preserve">Tablica 1. </w:t>
      </w:r>
      <w:r w:rsidR="002D00FE" w:rsidRPr="003030EC">
        <w:rPr>
          <w:i/>
          <w:noProof/>
          <w:sz w:val="24"/>
          <w:szCs w:val="24"/>
          <w:lang w:eastAsia="hr-HR"/>
        </w:rPr>
        <w:t>Prihodi prema ekonomskoj klasifikaciji</w:t>
      </w:r>
    </w:p>
    <w:tbl>
      <w:tblPr>
        <w:tblW w:w="10640" w:type="dxa"/>
        <w:tblLook w:val="04A0" w:firstRow="1" w:lastRow="0" w:firstColumn="1" w:lastColumn="0" w:noHBand="0" w:noVBand="1"/>
      </w:tblPr>
      <w:tblGrid>
        <w:gridCol w:w="3257"/>
        <w:gridCol w:w="1699"/>
        <w:gridCol w:w="1811"/>
        <w:gridCol w:w="1699"/>
        <w:gridCol w:w="1142"/>
        <w:gridCol w:w="1032"/>
      </w:tblGrid>
      <w:tr w:rsidR="00C37F35" w:rsidRPr="00C37F35" w14:paraId="6AA6756C" w14:textId="77777777" w:rsidTr="00C37F35">
        <w:trPr>
          <w:trHeight w:val="801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28AB547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5927DB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- 6.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D5AC5D8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E64954E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- 6. 2025.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C0C720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5A3DEC8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C37F35" w:rsidRPr="00C37F35" w14:paraId="09C48EFB" w14:textId="77777777" w:rsidTr="00C37F35">
        <w:trPr>
          <w:trHeight w:val="270"/>
        </w:trPr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3971D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8F613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F5C5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54940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80F6A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43650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6=4/3*100</w:t>
            </w:r>
          </w:p>
        </w:tc>
      </w:tr>
      <w:tr w:rsidR="00C37F35" w:rsidRPr="00C37F35" w14:paraId="3E04DEC0" w14:textId="77777777" w:rsidTr="00C37F35">
        <w:trPr>
          <w:trHeight w:val="600"/>
        </w:trPr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4ADE6A9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PRIHODI PREMA EKONOMSKOJ KLASIFIKACIJI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E76B311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5.822.657,80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AC06C91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21.866.637,00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311C4E6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5.778.441,29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BBB9DAC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99,24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79C9B77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26,43</w:t>
            </w:r>
          </w:p>
        </w:tc>
      </w:tr>
      <w:tr w:rsidR="00C37F35" w:rsidRPr="00C37F35" w14:paraId="56283919" w14:textId="77777777" w:rsidTr="00C37F35">
        <w:trPr>
          <w:trHeight w:val="501"/>
        </w:trPr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BE24045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1C86CB6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5.822.657,80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0FF4D32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21.866.637,00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D415127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5.778.441,29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DD324C6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99,24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836B771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26,43</w:t>
            </w:r>
          </w:p>
        </w:tc>
      </w:tr>
      <w:tr w:rsidR="00C37F35" w:rsidRPr="00C37F35" w14:paraId="155FD630" w14:textId="77777777" w:rsidTr="00C37F35">
        <w:trPr>
          <w:trHeight w:val="501"/>
        </w:trPr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3661F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63 Pomoći iz inozemstva i od subjekata unutar općeg proračuna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19EA2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297.389,53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F91DB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756.637,00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B52B4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14.230,80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9C8F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4,79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2D346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1,88</w:t>
            </w:r>
          </w:p>
        </w:tc>
      </w:tr>
      <w:tr w:rsidR="00C37F35" w:rsidRPr="00C37F35" w14:paraId="486E5D06" w14:textId="77777777" w:rsidTr="00C37F35">
        <w:trPr>
          <w:trHeight w:val="501"/>
        </w:trPr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8AAED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64 Prihodi od imovine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1F2DF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7.103,26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F09A6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80.000,00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20313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8.630,47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CE94A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121,50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E7940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10,79</w:t>
            </w:r>
          </w:p>
        </w:tc>
      </w:tr>
      <w:tr w:rsidR="00C37F35" w:rsidRPr="00C37F35" w14:paraId="1C970199" w14:textId="77777777" w:rsidTr="00C37F35">
        <w:trPr>
          <w:trHeight w:val="501"/>
        </w:trPr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381AD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2A32A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5.259.552,08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A4984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20.005.000,00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31CD5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5.435.102,27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BC9F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103,34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1DDCF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27,17</w:t>
            </w:r>
          </w:p>
        </w:tc>
      </w:tr>
      <w:tr w:rsidR="00C37F35" w:rsidRPr="00C37F35" w14:paraId="0EE25BD1" w14:textId="77777777" w:rsidTr="00C37F35">
        <w:trPr>
          <w:trHeight w:val="501"/>
        </w:trPr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50224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00012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253.868,15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FA4BB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900.000,00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F6CE1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318.311,70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0D080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125,38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B9365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35,37</w:t>
            </w:r>
          </w:p>
        </w:tc>
      </w:tr>
      <w:tr w:rsidR="00C37F35" w:rsidRPr="00C37F35" w14:paraId="47EABCA2" w14:textId="77777777" w:rsidTr="00C37F35">
        <w:trPr>
          <w:trHeight w:val="501"/>
        </w:trPr>
        <w:tc>
          <w:tcPr>
            <w:tcW w:w="3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91767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68 Kazne, upravne mjere i ostali prihodi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37FEB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4.744,78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F2860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125.000,00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CA1B9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2.166,05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50E8B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45,65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BF09F" w14:textId="77777777" w:rsidR="00C37F35" w:rsidRPr="00C37F35" w:rsidRDefault="00C37F35" w:rsidP="00C37F3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C37F35">
              <w:rPr>
                <w:rFonts w:ascii="Arial" w:hAnsi="Arial" w:cs="Arial"/>
                <w:color w:val="000000"/>
                <w:sz w:val="20"/>
                <w:lang w:val="hr-HR" w:eastAsia="hr-HR"/>
              </w:rPr>
              <w:t>1,73</w:t>
            </w:r>
          </w:p>
        </w:tc>
      </w:tr>
    </w:tbl>
    <w:p w14:paraId="3C15D121" w14:textId="77777777" w:rsidR="00CB09CA" w:rsidRDefault="00CB09CA" w:rsidP="00C37F35">
      <w:pPr>
        <w:jc w:val="left"/>
        <w:rPr>
          <w:i/>
          <w:noProof/>
          <w:sz w:val="24"/>
          <w:szCs w:val="24"/>
          <w:lang w:eastAsia="hr-HR"/>
        </w:rPr>
      </w:pPr>
    </w:p>
    <w:p w14:paraId="4B1F7B1A" w14:textId="16EA0CF0" w:rsidR="00603EB2" w:rsidRPr="00850FB1" w:rsidRDefault="00CA777A" w:rsidP="002D00FE">
      <w:pPr>
        <w:rPr>
          <w:noProof/>
          <w:sz w:val="24"/>
          <w:szCs w:val="24"/>
          <w:lang w:eastAsia="hr-HR"/>
        </w:rPr>
      </w:pPr>
      <w:r w:rsidRPr="00850FB1">
        <w:rPr>
          <w:noProof/>
          <w:sz w:val="24"/>
          <w:szCs w:val="24"/>
          <w:lang w:eastAsia="hr-HR"/>
        </w:rPr>
        <w:t xml:space="preserve">Prihodi poslovanja u </w:t>
      </w:r>
      <w:r w:rsidR="001A6C73" w:rsidRPr="00850FB1">
        <w:rPr>
          <w:noProof/>
          <w:sz w:val="24"/>
          <w:szCs w:val="24"/>
          <w:lang w:eastAsia="hr-HR"/>
        </w:rPr>
        <w:t>202</w:t>
      </w:r>
      <w:r w:rsidR="0020702E">
        <w:rPr>
          <w:noProof/>
          <w:sz w:val="24"/>
          <w:szCs w:val="24"/>
          <w:lang w:eastAsia="hr-HR"/>
        </w:rPr>
        <w:t>5</w:t>
      </w:r>
      <w:r w:rsidRPr="00850FB1">
        <w:rPr>
          <w:noProof/>
          <w:sz w:val="24"/>
          <w:szCs w:val="24"/>
          <w:lang w:eastAsia="hr-HR"/>
        </w:rPr>
        <w:t>. godin</w:t>
      </w:r>
      <w:r w:rsidR="009949CA">
        <w:rPr>
          <w:noProof/>
          <w:sz w:val="24"/>
          <w:szCs w:val="24"/>
          <w:lang w:eastAsia="hr-HR"/>
        </w:rPr>
        <w:t>i</w:t>
      </w:r>
      <w:r w:rsidRPr="00850FB1">
        <w:rPr>
          <w:noProof/>
          <w:sz w:val="24"/>
          <w:szCs w:val="24"/>
          <w:lang w:eastAsia="hr-HR"/>
        </w:rPr>
        <w:t xml:space="preserve"> ostvareni su u iznosu od </w:t>
      </w:r>
      <w:r w:rsidR="009949CA">
        <w:rPr>
          <w:noProof/>
          <w:sz w:val="24"/>
          <w:szCs w:val="24"/>
          <w:lang w:eastAsia="hr-HR"/>
        </w:rPr>
        <w:t>5</w:t>
      </w:r>
      <w:r w:rsidR="009A486B">
        <w:rPr>
          <w:noProof/>
          <w:sz w:val="24"/>
          <w:szCs w:val="24"/>
          <w:lang w:eastAsia="hr-HR"/>
        </w:rPr>
        <w:t>.</w:t>
      </w:r>
      <w:r w:rsidR="0020702E">
        <w:rPr>
          <w:noProof/>
          <w:sz w:val="24"/>
          <w:szCs w:val="24"/>
          <w:lang w:eastAsia="hr-HR"/>
        </w:rPr>
        <w:t>778</w:t>
      </w:r>
      <w:r w:rsidR="009949CA">
        <w:rPr>
          <w:noProof/>
          <w:sz w:val="24"/>
          <w:szCs w:val="24"/>
          <w:lang w:eastAsia="hr-HR"/>
        </w:rPr>
        <w:t>.</w:t>
      </w:r>
      <w:r w:rsidR="0020702E">
        <w:rPr>
          <w:noProof/>
          <w:sz w:val="24"/>
          <w:szCs w:val="24"/>
          <w:lang w:eastAsia="hr-HR"/>
        </w:rPr>
        <w:t>441</w:t>
      </w:r>
      <w:r w:rsidR="009949CA">
        <w:rPr>
          <w:noProof/>
          <w:sz w:val="24"/>
          <w:szCs w:val="24"/>
          <w:lang w:eastAsia="hr-HR"/>
        </w:rPr>
        <w:t>,</w:t>
      </w:r>
      <w:r w:rsidR="0020702E">
        <w:rPr>
          <w:noProof/>
          <w:sz w:val="24"/>
          <w:szCs w:val="24"/>
          <w:lang w:eastAsia="hr-HR"/>
        </w:rPr>
        <w:t>29</w:t>
      </w:r>
      <w:r w:rsidRPr="00850FB1">
        <w:rPr>
          <w:noProof/>
          <w:sz w:val="24"/>
          <w:szCs w:val="24"/>
          <w:lang w:eastAsia="hr-HR"/>
        </w:rPr>
        <w:t xml:space="preserve"> </w:t>
      </w:r>
      <w:r w:rsidR="009E7F4C">
        <w:rPr>
          <w:noProof/>
          <w:sz w:val="24"/>
          <w:szCs w:val="24"/>
          <w:lang w:eastAsia="hr-HR"/>
        </w:rPr>
        <w:t>eur</w:t>
      </w:r>
      <w:r w:rsidR="0020702E">
        <w:rPr>
          <w:noProof/>
          <w:sz w:val="24"/>
          <w:szCs w:val="24"/>
          <w:lang w:eastAsia="hr-HR"/>
        </w:rPr>
        <w:t>a</w:t>
      </w:r>
      <w:r w:rsidRPr="00850FB1">
        <w:rPr>
          <w:noProof/>
          <w:sz w:val="24"/>
          <w:szCs w:val="24"/>
          <w:lang w:eastAsia="hr-HR"/>
        </w:rPr>
        <w:t xml:space="preserve"> </w:t>
      </w:r>
      <w:r w:rsidR="009E7F4C">
        <w:rPr>
          <w:noProof/>
          <w:sz w:val="24"/>
          <w:szCs w:val="24"/>
          <w:lang w:eastAsia="hr-HR"/>
        </w:rPr>
        <w:t xml:space="preserve">što je </w:t>
      </w:r>
      <w:r w:rsidR="009949CA">
        <w:rPr>
          <w:noProof/>
          <w:sz w:val="24"/>
          <w:szCs w:val="24"/>
          <w:lang w:eastAsia="hr-HR"/>
        </w:rPr>
        <w:t>izvršenje 2</w:t>
      </w:r>
      <w:r w:rsidR="0020702E">
        <w:rPr>
          <w:noProof/>
          <w:sz w:val="24"/>
          <w:szCs w:val="24"/>
          <w:lang w:eastAsia="hr-HR"/>
        </w:rPr>
        <w:t>6</w:t>
      </w:r>
      <w:r w:rsidR="009949CA">
        <w:rPr>
          <w:noProof/>
          <w:sz w:val="24"/>
          <w:szCs w:val="24"/>
          <w:lang w:eastAsia="hr-HR"/>
        </w:rPr>
        <w:t>,</w:t>
      </w:r>
      <w:r w:rsidR="0020702E">
        <w:rPr>
          <w:noProof/>
          <w:sz w:val="24"/>
          <w:szCs w:val="24"/>
          <w:lang w:eastAsia="hr-HR"/>
        </w:rPr>
        <w:t>43</w:t>
      </w:r>
      <w:r w:rsidR="004159CE">
        <w:rPr>
          <w:noProof/>
          <w:sz w:val="24"/>
          <w:szCs w:val="24"/>
          <w:lang w:eastAsia="hr-HR"/>
        </w:rPr>
        <w:t>%</w:t>
      </w:r>
      <w:r w:rsidR="001A6C73" w:rsidRPr="00850FB1">
        <w:rPr>
          <w:noProof/>
          <w:sz w:val="24"/>
          <w:szCs w:val="24"/>
          <w:lang w:eastAsia="hr-HR"/>
        </w:rPr>
        <w:t xml:space="preserve"> </w:t>
      </w:r>
      <w:r w:rsidR="009949CA">
        <w:rPr>
          <w:noProof/>
          <w:sz w:val="24"/>
          <w:szCs w:val="24"/>
          <w:lang w:eastAsia="hr-HR"/>
        </w:rPr>
        <w:t xml:space="preserve">u odnosu na </w:t>
      </w:r>
      <w:r w:rsidR="004159CE">
        <w:rPr>
          <w:noProof/>
          <w:sz w:val="24"/>
          <w:szCs w:val="24"/>
          <w:lang w:eastAsia="hr-HR"/>
        </w:rPr>
        <w:t>plan</w:t>
      </w:r>
      <w:r w:rsidR="001A6C73" w:rsidRPr="00850FB1">
        <w:rPr>
          <w:noProof/>
          <w:sz w:val="24"/>
          <w:szCs w:val="24"/>
          <w:lang w:eastAsia="hr-HR"/>
        </w:rPr>
        <w:t xml:space="preserve">. </w:t>
      </w:r>
      <w:r w:rsidR="0080646E">
        <w:rPr>
          <w:noProof/>
          <w:sz w:val="24"/>
          <w:szCs w:val="24"/>
          <w:lang w:eastAsia="hr-HR"/>
        </w:rPr>
        <w:t>Na</w:t>
      </w:r>
      <w:r w:rsidR="00D03282" w:rsidRPr="00850FB1">
        <w:rPr>
          <w:noProof/>
          <w:sz w:val="24"/>
          <w:szCs w:val="24"/>
          <w:lang w:eastAsia="hr-HR"/>
        </w:rPr>
        <w:t xml:space="preserve">jznačajnija kategorija </w:t>
      </w:r>
      <w:r w:rsidR="00343708" w:rsidRPr="00850FB1">
        <w:rPr>
          <w:noProof/>
          <w:sz w:val="24"/>
          <w:szCs w:val="24"/>
          <w:lang w:eastAsia="hr-HR"/>
        </w:rPr>
        <w:t xml:space="preserve">s udjelom od </w:t>
      </w:r>
      <w:r w:rsidR="0011045A">
        <w:rPr>
          <w:noProof/>
          <w:sz w:val="24"/>
          <w:szCs w:val="24"/>
          <w:lang w:eastAsia="hr-HR"/>
        </w:rPr>
        <w:t>9</w:t>
      </w:r>
      <w:r w:rsidR="0020702E">
        <w:rPr>
          <w:noProof/>
          <w:sz w:val="24"/>
          <w:szCs w:val="24"/>
          <w:lang w:eastAsia="hr-HR"/>
        </w:rPr>
        <w:t>4</w:t>
      </w:r>
      <w:r w:rsidR="0011045A">
        <w:rPr>
          <w:noProof/>
          <w:sz w:val="24"/>
          <w:szCs w:val="24"/>
          <w:lang w:eastAsia="hr-HR"/>
        </w:rPr>
        <w:t>,</w:t>
      </w:r>
      <w:r w:rsidR="0020702E">
        <w:rPr>
          <w:noProof/>
          <w:sz w:val="24"/>
          <w:szCs w:val="24"/>
          <w:lang w:eastAsia="hr-HR"/>
        </w:rPr>
        <w:t>05</w:t>
      </w:r>
      <w:r w:rsidR="00343708" w:rsidRPr="00850FB1">
        <w:rPr>
          <w:noProof/>
          <w:sz w:val="24"/>
          <w:szCs w:val="24"/>
          <w:lang w:eastAsia="hr-HR"/>
        </w:rPr>
        <w:t xml:space="preserve">% </w:t>
      </w:r>
      <w:r w:rsidR="00D03282" w:rsidRPr="00850FB1">
        <w:rPr>
          <w:noProof/>
          <w:sz w:val="24"/>
          <w:szCs w:val="24"/>
          <w:lang w:eastAsia="hr-HR"/>
        </w:rPr>
        <w:t>su p</w:t>
      </w:r>
      <w:r w:rsidR="007819E7" w:rsidRPr="00850FB1">
        <w:rPr>
          <w:noProof/>
          <w:sz w:val="24"/>
          <w:szCs w:val="24"/>
          <w:lang w:eastAsia="hr-HR"/>
        </w:rPr>
        <w:t>rihodi po posebnim</w:t>
      </w:r>
      <w:r w:rsidRPr="00850FB1">
        <w:rPr>
          <w:noProof/>
          <w:sz w:val="24"/>
          <w:szCs w:val="24"/>
          <w:lang w:eastAsia="hr-HR"/>
        </w:rPr>
        <w:t xml:space="preserve"> propisima </w:t>
      </w:r>
      <w:r w:rsidR="00343708" w:rsidRPr="00850FB1">
        <w:rPr>
          <w:noProof/>
          <w:sz w:val="24"/>
          <w:szCs w:val="24"/>
          <w:lang w:eastAsia="hr-HR"/>
        </w:rPr>
        <w:t xml:space="preserve">u iznosu od </w:t>
      </w:r>
      <w:r w:rsidR="0011045A">
        <w:rPr>
          <w:noProof/>
          <w:sz w:val="24"/>
          <w:szCs w:val="24"/>
          <w:lang w:eastAsia="hr-HR"/>
        </w:rPr>
        <w:t>5.</w:t>
      </w:r>
      <w:r w:rsidR="00F54F8E">
        <w:rPr>
          <w:noProof/>
          <w:sz w:val="24"/>
          <w:szCs w:val="24"/>
          <w:lang w:eastAsia="hr-HR"/>
        </w:rPr>
        <w:t>435</w:t>
      </w:r>
      <w:r w:rsidR="0011045A">
        <w:rPr>
          <w:noProof/>
          <w:sz w:val="24"/>
          <w:szCs w:val="24"/>
          <w:lang w:eastAsia="hr-HR"/>
        </w:rPr>
        <w:t>.</w:t>
      </w:r>
      <w:r w:rsidR="00F54F8E">
        <w:rPr>
          <w:noProof/>
          <w:sz w:val="24"/>
          <w:szCs w:val="24"/>
          <w:lang w:eastAsia="hr-HR"/>
        </w:rPr>
        <w:t>102</w:t>
      </w:r>
      <w:r w:rsidR="0011045A">
        <w:rPr>
          <w:noProof/>
          <w:sz w:val="24"/>
          <w:szCs w:val="24"/>
          <w:lang w:eastAsia="hr-HR"/>
        </w:rPr>
        <w:t>,</w:t>
      </w:r>
      <w:r w:rsidR="0020702E">
        <w:rPr>
          <w:noProof/>
          <w:sz w:val="24"/>
          <w:szCs w:val="24"/>
          <w:lang w:eastAsia="hr-HR"/>
        </w:rPr>
        <w:t>2</w:t>
      </w:r>
      <w:r w:rsidR="00F54F8E">
        <w:rPr>
          <w:noProof/>
          <w:sz w:val="24"/>
          <w:szCs w:val="24"/>
          <w:lang w:eastAsia="hr-HR"/>
        </w:rPr>
        <w:t>7</w:t>
      </w:r>
      <w:r w:rsidR="00343708" w:rsidRPr="00850FB1">
        <w:rPr>
          <w:noProof/>
          <w:sz w:val="24"/>
          <w:szCs w:val="24"/>
          <w:lang w:eastAsia="hr-HR"/>
        </w:rPr>
        <w:t xml:space="preserve"> </w:t>
      </w:r>
      <w:r w:rsidR="009E7F4C">
        <w:rPr>
          <w:noProof/>
          <w:sz w:val="24"/>
          <w:szCs w:val="24"/>
          <w:lang w:eastAsia="hr-HR"/>
        </w:rPr>
        <w:t>eur</w:t>
      </w:r>
      <w:r w:rsidR="0020702E">
        <w:rPr>
          <w:noProof/>
          <w:sz w:val="24"/>
          <w:szCs w:val="24"/>
          <w:lang w:eastAsia="hr-HR"/>
        </w:rPr>
        <w:t>a</w:t>
      </w:r>
      <w:r w:rsidR="00343708" w:rsidRPr="00850FB1">
        <w:rPr>
          <w:noProof/>
          <w:sz w:val="24"/>
          <w:szCs w:val="24"/>
          <w:lang w:eastAsia="hr-HR"/>
        </w:rPr>
        <w:t xml:space="preserve"> </w:t>
      </w:r>
      <w:r w:rsidR="006D258E" w:rsidRPr="00850FB1">
        <w:rPr>
          <w:noProof/>
          <w:sz w:val="24"/>
          <w:szCs w:val="24"/>
          <w:lang w:eastAsia="hr-HR"/>
        </w:rPr>
        <w:t>koji se odnose na prihode od ulaznica</w:t>
      </w:r>
      <w:r w:rsidR="0080646E">
        <w:rPr>
          <w:noProof/>
          <w:sz w:val="24"/>
          <w:szCs w:val="24"/>
          <w:lang w:eastAsia="hr-HR"/>
        </w:rPr>
        <w:t>. S</w:t>
      </w:r>
      <w:r w:rsidR="00D03282" w:rsidRPr="00850FB1">
        <w:rPr>
          <w:noProof/>
          <w:sz w:val="24"/>
          <w:szCs w:val="24"/>
          <w:lang w:eastAsia="hr-HR"/>
        </w:rPr>
        <w:t xml:space="preserve">lijede prihodi od </w:t>
      </w:r>
      <w:r w:rsidR="0020702E">
        <w:rPr>
          <w:noProof/>
          <w:sz w:val="24"/>
          <w:szCs w:val="24"/>
          <w:lang w:eastAsia="hr-HR"/>
        </w:rPr>
        <w:t xml:space="preserve">prodaje proizvoda i robe te pruženih usluga </w:t>
      </w:r>
      <w:r w:rsidR="00343708" w:rsidRPr="00850FB1">
        <w:rPr>
          <w:noProof/>
          <w:sz w:val="24"/>
          <w:szCs w:val="24"/>
          <w:lang w:eastAsia="hr-HR"/>
        </w:rPr>
        <w:t xml:space="preserve">u iznosu od </w:t>
      </w:r>
      <w:r w:rsidR="0020702E">
        <w:rPr>
          <w:noProof/>
          <w:sz w:val="24"/>
          <w:szCs w:val="24"/>
          <w:lang w:eastAsia="hr-HR"/>
        </w:rPr>
        <w:t>318</w:t>
      </w:r>
      <w:r w:rsidR="0011045A">
        <w:rPr>
          <w:noProof/>
          <w:sz w:val="24"/>
          <w:szCs w:val="24"/>
          <w:lang w:eastAsia="hr-HR"/>
        </w:rPr>
        <w:t>.3</w:t>
      </w:r>
      <w:r w:rsidR="0020702E">
        <w:rPr>
          <w:noProof/>
          <w:sz w:val="24"/>
          <w:szCs w:val="24"/>
          <w:lang w:eastAsia="hr-HR"/>
        </w:rPr>
        <w:t>11</w:t>
      </w:r>
      <w:r w:rsidR="0011045A">
        <w:rPr>
          <w:noProof/>
          <w:sz w:val="24"/>
          <w:szCs w:val="24"/>
          <w:lang w:eastAsia="hr-HR"/>
        </w:rPr>
        <w:t>,</w:t>
      </w:r>
      <w:r w:rsidR="0020702E">
        <w:rPr>
          <w:noProof/>
          <w:sz w:val="24"/>
          <w:szCs w:val="24"/>
          <w:lang w:eastAsia="hr-HR"/>
        </w:rPr>
        <w:t>70</w:t>
      </w:r>
      <w:r w:rsidR="00F54F8E">
        <w:rPr>
          <w:noProof/>
          <w:sz w:val="24"/>
          <w:szCs w:val="24"/>
          <w:lang w:eastAsia="hr-HR"/>
        </w:rPr>
        <w:t xml:space="preserve"> eura</w:t>
      </w:r>
      <w:r w:rsidR="006D258E" w:rsidRPr="00850FB1">
        <w:rPr>
          <w:noProof/>
          <w:sz w:val="24"/>
          <w:szCs w:val="24"/>
          <w:lang w:eastAsia="hr-HR"/>
        </w:rPr>
        <w:t xml:space="preserve">, dok se preostali udio odnosi na prihode od </w:t>
      </w:r>
      <w:r w:rsidR="0020702E">
        <w:rPr>
          <w:noProof/>
          <w:sz w:val="24"/>
          <w:szCs w:val="24"/>
          <w:lang w:eastAsia="hr-HR"/>
        </w:rPr>
        <w:t xml:space="preserve">pomoći iz inozemstva i od subjekata unutar općeg proračuna, prihode od imovine </w:t>
      </w:r>
      <w:r w:rsidR="00CF771E" w:rsidRPr="00850FB1">
        <w:rPr>
          <w:noProof/>
          <w:sz w:val="24"/>
          <w:szCs w:val="24"/>
          <w:lang w:eastAsia="hr-HR"/>
        </w:rPr>
        <w:t>te</w:t>
      </w:r>
      <w:r w:rsidR="006D258E" w:rsidRPr="00850FB1">
        <w:rPr>
          <w:noProof/>
          <w:sz w:val="24"/>
          <w:szCs w:val="24"/>
          <w:lang w:eastAsia="hr-HR"/>
        </w:rPr>
        <w:t xml:space="preserve"> ostale prihode.</w:t>
      </w:r>
      <w:r w:rsidR="003D4203" w:rsidRPr="00850FB1">
        <w:rPr>
          <w:noProof/>
          <w:sz w:val="24"/>
          <w:szCs w:val="24"/>
          <w:lang w:eastAsia="hr-HR"/>
        </w:rPr>
        <w:t xml:space="preserve"> </w:t>
      </w:r>
    </w:p>
    <w:p w14:paraId="11C279D4" w14:textId="14E16422" w:rsidR="00603EB2" w:rsidRPr="00850FB1" w:rsidRDefault="00A86916" w:rsidP="002D00FE">
      <w:pPr>
        <w:rPr>
          <w:noProof/>
          <w:sz w:val="24"/>
          <w:szCs w:val="24"/>
          <w:lang w:eastAsia="hr-HR"/>
        </w:rPr>
      </w:pPr>
      <w:r w:rsidRPr="00850FB1">
        <w:rPr>
          <w:noProof/>
          <w:sz w:val="24"/>
          <w:szCs w:val="24"/>
          <w:lang w:eastAsia="hr-HR"/>
        </w:rPr>
        <w:t>U</w:t>
      </w:r>
      <w:r w:rsidR="0054337B" w:rsidRPr="00850FB1">
        <w:rPr>
          <w:noProof/>
          <w:sz w:val="24"/>
          <w:szCs w:val="24"/>
          <w:lang w:eastAsia="hr-HR"/>
        </w:rPr>
        <w:t xml:space="preserve"> odnosu na isto razdoblje prethodne </w:t>
      </w:r>
      <w:r w:rsidR="00F17B21" w:rsidRPr="00850FB1">
        <w:rPr>
          <w:noProof/>
          <w:sz w:val="24"/>
          <w:szCs w:val="24"/>
          <w:lang w:eastAsia="hr-HR"/>
        </w:rPr>
        <w:t xml:space="preserve">godine </w:t>
      </w:r>
      <w:r w:rsidR="0054337B" w:rsidRPr="00850FB1">
        <w:rPr>
          <w:noProof/>
          <w:sz w:val="24"/>
          <w:szCs w:val="24"/>
          <w:lang w:eastAsia="hr-HR"/>
        </w:rPr>
        <w:t xml:space="preserve">prihodi poslovanja bilježe </w:t>
      </w:r>
      <w:r w:rsidR="0020702E">
        <w:rPr>
          <w:noProof/>
          <w:sz w:val="24"/>
          <w:szCs w:val="24"/>
          <w:lang w:eastAsia="hr-HR"/>
        </w:rPr>
        <w:t>neznatno smanjenje</w:t>
      </w:r>
      <w:r w:rsidR="0054337B" w:rsidRPr="00850FB1">
        <w:rPr>
          <w:noProof/>
          <w:sz w:val="24"/>
          <w:szCs w:val="24"/>
          <w:lang w:eastAsia="hr-HR"/>
        </w:rPr>
        <w:t xml:space="preserve">. </w:t>
      </w:r>
      <w:r w:rsidR="00310706" w:rsidRPr="00850FB1">
        <w:rPr>
          <w:noProof/>
          <w:sz w:val="24"/>
          <w:szCs w:val="24"/>
          <w:lang w:eastAsia="hr-HR"/>
        </w:rPr>
        <w:t xml:space="preserve">Od toga prihodi od ulaznica </w:t>
      </w:r>
      <w:r w:rsidR="008F09F3" w:rsidRPr="00850FB1">
        <w:rPr>
          <w:noProof/>
          <w:sz w:val="24"/>
          <w:szCs w:val="24"/>
          <w:lang w:eastAsia="hr-HR"/>
        </w:rPr>
        <w:t xml:space="preserve">bilježe </w:t>
      </w:r>
      <w:r w:rsidR="00310706" w:rsidRPr="00850FB1">
        <w:rPr>
          <w:noProof/>
          <w:sz w:val="24"/>
          <w:szCs w:val="24"/>
          <w:lang w:eastAsia="hr-HR"/>
        </w:rPr>
        <w:t xml:space="preserve">povećanje od </w:t>
      </w:r>
      <w:r w:rsidR="0020702E">
        <w:rPr>
          <w:noProof/>
          <w:sz w:val="24"/>
          <w:szCs w:val="24"/>
          <w:lang w:eastAsia="hr-HR"/>
        </w:rPr>
        <w:t>3,34</w:t>
      </w:r>
      <w:r w:rsidR="00C03A50" w:rsidRPr="00850FB1">
        <w:rPr>
          <w:noProof/>
          <w:sz w:val="24"/>
          <w:szCs w:val="24"/>
          <w:lang w:eastAsia="hr-HR"/>
        </w:rPr>
        <w:t xml:space="preserve">%, </w:t>
      </w:r>
      <w:r w:rsidR="00913854" w:rsidRPr="00850FB1">
        <w:rPr>
          <w:noProof/>
          <w:sz w:val="24"/>
          <w:szCs w:val="24"/>
          <w:lang w:eastAsia="hr-HR"/>
        </w:rPr>
        <w:t xml:space="preserve">a </w:t>
      </w:r>
      <w:r w:rsidR="00C03A50" w:rsidRPr="00850FB1">
        <w:rPr>
          <w:noProof/>
          <w:sz w:val="24"/>
          <w:szCs w:val="24"/>
          <w:lang w:eastAsia="hr-HR"/>
        </w:rPr>
        <w:t>prihodi od prodaje roba</w:t>
      </w:r>
      <w:r w:rsidR="00310706" w:rsidRPr="00850FB1">
        <w:rPr>
          <w:noProof/>
          <w:sz w:val="24"/>
          <w:szCs w:val="24"/>
          <w:lang w:eastAsia="hr-HR"/>
        </w:rPr>
        <w:t xml:space="preserve"> i usluga po</w:t>
      </w:r>
      <w:r w:rsidR="00C03A50" w:rsidRPr="00850FB1">
        <w:rPr>
          <w:noProof/>
          <w:sz w:val="24"/>
          <w:szCs w:val="24"/>
          <w:lang w:eastAsia="hr-HR"/>
        </w:rPr>
        <w:t>v</w:t>
      </w:r>
      <w:r w:rsidR="00310706" w:rsidRPr="00850FB1">
        <w:rPr>
          <w:noProof/>
          <w:sz w:val="24"/>
          <w:szCs w:val="24"/>
          <w:lang w:eastAsia="hr-HR"/>
        </w:rPr>
        <w:t xml:space="preserve">ećanje od </w:t>
      </w:r>
      <w:r w:rsidR="009A486B">
        <w:rPr>
          <w:noProof/>
          <w:sz w:val="24"/>
          <w:szCs w:val="24"/>
          <w:lang w:eastAsia="hr-HR"/>
        </w:rPr>
        <w:t>3</w:t>
      </w:r>
      <w:r w:rsidR="0020702E">
        <w:rPr>
          <w:noProof/>
          <w:sz w:val="24"/>
          <w:szCs w:val="24"/>
          <w:lang w:eastAsia="hr-HR"/>
        </w:rPr>
        <w:t>5</w:t>
      </w:r>
      <w:r w:rsidR="0011045A">
        <w:rPr>
          <w:noProof/>
          <w:sz w:val="24"/>
          <w:szCs w:val="24"/>
          <w:lang w:eastAsia="hr-HR"/>
        </w:rPr>
        <w:t>,</w:t>
      </w:r>
      <w:r w:rsidR="0020702E">
        <w:rPr>
          <w:noProof/>
          <w:sz w:val="24"/>
          <w:szCs w:val="24"/>
          <w:lang w:eastAsia="hr-HR"/>
        </w:rPr>
        <w:t>37</w:t>
      </w:r>
      <w:r w:rsidR="008F09F3" w:rsidRPr="00850FB1">
        <w:rPr>
          <w:noProof/>
          <w:sz w:val="24"/>
          <w:szCs w:val="24"/>
          <w:lang w:eastAsia="hr-HR"/>
        </w:rPr>
        <w:t>%</w:t>
      </w:r>
      <w:r w:rsidR="00310706" w:rsidRPr="00850FB1">
        <w:rPr>
          <w:noProof/>
          <w:sz w:val="24"/>
          <w:szCs w:val="24"/>
          <w:lang w:eastAsia="hr-HR"/>
        </w:rPr>
        <w:t xml:space="preserve">. </w:t>
      </w:r>
    </w:p>
    <w:p w14:paraId="6CC86446" w14:textId="77777777" w:rsidR="00603EB2" w:rsidRDefault="00603EB2" w:rsidP="002D00FE">
      <w:pPr>
        <w:rPr>
          <w:i/>
          <w:noProof/>
          <w:color w:val="FF0000"/>
          <w:sz w:val="24"/>
          <w:szCs w:val="24"/>
          <w:lang w:eastAsia="hr-HR"/>
        </w:rPr>
      </w:pPr>
    </w:p>
    <w:p w14:paraId="5EBBBC5A" w14:textId="77777777" w:rsidR="006B5409" w:rsidRDefault="006B5409" w:rsidP="002D00FE">
      <w:pPr>
        <w:rPr>
          <w:i/>
          <w:noProof/>
          <w:color w:val="FF0000"/>
          <w:sz w:val="24"/>
          <w:szCs w:val="24"/>
          <w:lang w:eastAsia="hr-HR"/>
        </w:rPr>
      </w:pPr>
    </w:p>
    <w:p w14:paraId="6335AA53" w14:textId="77777777" w:rsidR="006B5409" w:rsidRDefault="006B5409" w:rsidP="002D00FE">
      <w:pPr>
        <w:rPr>
          <w:i/>
          <w:noProof/>
          <w:color w:val="FF0000"/>
          <w:sz w:val="24"/>
          <w:szCs w:val="24"/>
          <w:lang w:eastAsia="hr-HR"/>
        </w:rPr>
      </w:pPr>
    </w:p>
    <w:p w14:paraId="1CD425FE" w14:textId="77777777" w:rsidR="006B5409" w:rsidRDefault="006B5409" w:rsidP="002D00FE">
      <w:pPr>
        <w:rPr>
          <w:i/>
          <w:noProof/>
          <w:color w:val="FF0000"/>
          <w:sz w:val="24"/>
          <w:szCs w:val="24"/>
          <w:lang w:eastAsia="hr-HR"/>
        </w:rPr>
      </w:pPr>
    </w:p>
    <w:p w14:paraId="11C25413" w14:textId="77777777" w:rsidR="006B5409" w:rsidRDefault="006B5409" w:rsidP="002D00FE">
      <w:pPr>
        <w:rPr>
          <w:i/>
          <w:noProof/>
          <w:color w:val="FF0000"/>
          <w:sz w:val="24"/>
          <w:szCs w:val="24"/>
          <w:lang w:eastAsia="hr-HR"/>
        </w:rPr>
      </w:pPr>
    </w:p>
    <w:p w14:paraId="34534FA8" w14:textId="77777777" w:rsidR="000D7FA0" w:rsidRPr="003030EC" w:rsidRDefault="000D7FA0" w:rsidP="002D00FE">
      <w:pPr>
        <w:rPr>
          <w:i/>
          <w:noProof/>
          <w:color w:val="FF0000"/>
          <w:sz w:val="24"/>
          <w:szCs w:val="24"/>
          <w:lang w:eastAsia="hr-HR"/>
        </w:rPr>
      </w:pPr>
    </w:p>
    <w:p w14:paraId="6720055D" w14:textId="77777777" w:rsidR="006B5409" w:rsidRDefault="006B5409" w:rsidP="002D00FE">
      <w:pPr>
        <w:rPr>
          <w:i/>
          <w:noProof/>
          <w:sz w:val="24"/>
          <w:szCs w:val="24"/>
          <w:lang w:eastAsia="hr-HR"/>
        </w:rPr>
      </w:pPr>
    </w:p>
    <w:p w14:paraId="527A9DEC" w14:textId="77777777" w:rsidR="006B5409" w:rsidRDefault="006B5409" w:rsidP="002D00FE">
      <w:pPr>
        <w:rPr>
          <w:i/>
          <w:noProof/>
          <w:sz w:val="24"/>
          <w:szCs w:val="24"/>
          <w:lang w:eastAsia="hr-HR"/>
        </w:rPr>
      </w:pPr>
    </w:p>
    <w:p w14:paraId="4509381B" w14:textId="77777777" w:rsidR="002D00FE" w:rsidRPr="00DD2CF7" w:rsidRDefault="002F143E" w:rsidP="002D00FE">
      <w:pPr>
        <w:rPr>
          <w:i/>
          <w:noProof/>
          <w:sz w:val="24"/>
          <w:szCs w:val="24"/>
          <w:lang w:eastAsia="hr-HR"/>
        </w:rPr>
      </w:pPr>
      <w:r w:rsidRPr="00DD2CF7">
        <w:rPr>
          <w:i/>
          <w:noProof/>
          <w:sz w:val="24"/>
          <w:szCs w:val="24"/>
          <w:lang w:eastAsia="hr-HR"/>
        </w:rPr>
        <w:lastRenderedPageBreak/>
        <w:t xml:space="preserve">Tablica 2. </w:t>
      </w:r>
      <w:r w:rsidR="002D00FE" w:rsidRPr="00DD2CF7">
        <w:rPr>
          <w:i/>
          <w:noProof/>
          <w:sz w:val="24"/>
          <w:szCs w:val="24"/>
          <w:lang w:eastAsia="hr-HR"/>
        </w:rPr>
        <w:t>Prihodi prema izvorima financiranja</w:t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3148"/>
        <w:gridCol w:w="1693"/>
        <w:gridCol w:w="1802"/>
        <w:gridCol w:w="1693"/>
        <w:gridCol w:w="972"/>
        <w:gridCol w:w="972"/>
      </w:tblGrid>
      <w:tr w:rsidR="00F54F8E" w:rsidRPr="00F54F8E" w14:paraId="13A02952" w14:textId="77777777" w:rsidTr="00F54F8E">
        <w:trPr>
          <w:trHeight w:val="795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F418340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F552D1B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- 6.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1B02C37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E9D17CA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- 6. 2025.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A68A1C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F0D1309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F54F8E" w:rsidRPr="00F54F8E" w14:paraId="62134357" w14:textId="77777777" w:rsidTr="00F54F8E">
        <w:trPr>
          <w:trHeight w:val="270"/>
        </w:trPr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DFB98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9B0A9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B3750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5C277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2373B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DB0C4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6=4/3*100</w:t>
            </w:r>
          </w:p>
        </w:tc>
      </w:tr>
      <w:tr w:rsidR="00F54F8E" w:rsidRPr="00F54F8E" w14:paraId="022B0852" w14:textId="77777777" w:rsidTr="00F54F8E">
        <w:trPr>
          <w:trHeight w:val="501"/>
        </w:trPr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80B4F47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PRIHODI PREMA IZVORIMA FINANCIRANJA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4ED1523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5.822.657,80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65097FD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21.866.637,00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CE38832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5.778.441,29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FECC45A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99,24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9357089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26,43</w:t>
            </w:r>
          </w:p>
        </w:tc>
      </w:tr>
      <w:tr w:rsidR="00F54F8E" w:rsidRPr="00F54F8E" w14:paraId="33324705" w14:textId="77777777" w:rsidTr="00F54F8E">
        <w:trPr>
          <w:trHeight w:val="270"/>
        </w:trPr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7EAEF61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AEE41EC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5.822.657,80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163B182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21.866.637,00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89D999A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5.778.441,29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11A6676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99,24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CD99B94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26,43</w:t>
            </w:r>
          </w:p>
        </w:tc>
      </w:tr>
      <w:tr w:rsidR="00F54F8E" w:rsidRPr="00F54F8E" w14:paraId="39945CDB" w14:textId="77777777" w:rsidTr="00F54F8E">
        <w:trPr>
          <w:trHeight w:val="270"/>
        </w:trPr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B64E2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3 Vlastiti prihodi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F251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260.950,52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1DA74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980.000,00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6637D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326.942,17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99F7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125,29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4D68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33,36</w:t>
            </w:r>
          </w:p>
        </w:tc>
      </w:tr>
      <w:tr w:rsidR="00F54F8E" w:rsidRPr="00F54F8E" w14:paraId="1D48C686" w14:textId="77777777" w:rsidTr="00F54F8E">
        <w:trPr>
          <w:trHeight w:val="460"/>
        </w:trPr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B21BE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4 Prihodi za posebne namjene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A23E2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5.264.317,75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F4EE0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20.130.000,00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19C94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5.437.268,32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08BE5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103,29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39785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27,01</w:t>
            </w:r>
          </w:p>
        </w:tc>
      </w:tr>
      <w:tr w:rsidR="00F54F8E" w:rsidRPr="00F54F8E" w14:paraId="073A7B8D" w14:textId="77777777" w:rsidTr="00F54F8E">
        <w:trPr>
          <w:trHeight w:val="270"/>
        </w:trPr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4CA3D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5 Pomoći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4B8B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297.389,53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1F4FB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756.637,00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000B9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14.230,80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8943E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4,79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C02F6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1,88</w:t>
            </w:r>
          </w:p>
        </w:tc>
      </w:tr>
      <w:tr w:rsidR="00F54F8E" w:rsidRPr="00F54F8E" w14:paraId="089E0925" w14:textId="77777777" w:rsidTr="00F54F8E">
        <w:trPr>
          <w:trHeight w:val="270"/>
        </w:trPr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27E14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sz w:val="20"/>
                <w:lang w:val="hr-HR" w:eastAsia="hr-HR"/>
              </w:rPr>
              <w:t>Izvor: 52 Ostale pomoći i darovnice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BA567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sz w:val="20"/>
                <w:lang w:val="hr-HR" w:eastAsia="hr-HR"/>
              </w:rPr>
              <w:t>266.113,70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5159E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sz w:val="20"/>
                <w:lang w:val="hr-HR" w:eastAsia="hr-HR"/>
              </w:rPr>
              <w:t>756.637,00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B26E3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sz w:val="20"/>
                <w:lang w:val="hr-HR" w:eastAsia="hr-HR"/>
              </w:rPr>
              <w:t>14.230,80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FC028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5,35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BBBBD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1,88</w:t>
            </w:r>
          </w:p>
        </w:tc>
      </w:tr>
      <w:tr w:rsidR="00F54F8E" w:rsidRPr="00F54F8E" w14:paraId="436470BF" w14:textId="77777777" w:rsidTr="00F54F8E">
        <w:trPr>
          <w:trHeight w:val="285"/>
        </w:trPr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18EDC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200" w:firstLine="400"/>
              <w:jc w:val="lef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sz w:val="20"/>
                <w:lang w:val="hr-HR" w:eastAsia="hr-HR"/>
              </w:rPr>
              <w:t>Izvor: 563 Fondovi EU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24D29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sz w:val="20"/>
                <w:lang w:val="hr-HR" w:eastAsia="hr-HR"/>
              </w:rPr>
              <w:t>31.275,83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7036D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B24CC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sz w:val="20"/>
                <w:lang w:val="hr-HR" w:eastAsia="hr-HR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F626D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FD1E7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F54F8E" w:rsidRPr="00F54F8E" w14:paraId="4166D1E9" w14:textId="77777777" w:rsidTr="00F54F8E">
        <w:trPr>
          <w:trHeight w:val="270"/>
        </w:trPr>
        <w:tc>
          <w:tcPr>
            <w:tcW w:w="3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62387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200" w:firstLine="402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Izvor: 6 Donacije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DF192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94DE0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D4A10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F30C9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F7B36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5A96E196" w14:textId="77777777" w:rsidR="00F41BDA" w:rsidRDefault="00F41BDA" w:rsidP="002D00FE">
      <w:pPr>
        <w:rPr>
          <w:noProof/>
          <w:sz w:val="24"/>
          <w:szCs w:val="24"/>
          <w:lang w:eastAsia="hr-HR"/>
        </w:rPr>
      </w:pPr>
    </w:p>
    <w:p w14:paraId="69592C87" w14:textId="59A147AC" w:rsidR="002D00FE" w:rsidRPr="00DD2CF7" w:rsidRDefault="002D00FE" w:rsidP="002D00FE">
      <w:pPr>
        <w:rPr>
          <w:noProof/>
          <w:sz w:val="24"/>
          <w:szCs w:val="24"/>
          <w:lang w:eastAsia="hr-HR"/>
        </w:rPr>
      </w:pPr>
      <w:r w:rsidRPr="00850FB1">
        <w:rPr>
          <w:noProof/>
          <w:sz w:val="24"/>
          <w:szCs w:val="24"/>
          <w:lang w:eastAsia="hr-HR"/>
        </w:rPr>
        <w:t xml:space="preserve">Od ukupno ostvarenih prihoda u iznosu od </w:t>
      </w:r>
      <w:r w:rsidR="00F54F8E">
        <w:rPr>
          <w:noProof/>
          <w:sz w:val="24"/>
          <w:szCs w:val="24"/>
          <w:lang w:eastAsia="hr-HR"/>
        </w:rPr>
        <w:t>5.778.441,29</w:t>
      </w:r>
      <w:r w:rsidR="00F54F8E" w:rsidRPr="00850FB1">
        <w:rPr>
          <w:noProof/>
          <w:sz w:val="24"/>
          <w:szCs w:val="24"/>
          <w:lang w:eastAsia="hr-HR"/>
        </w:rPr>
        <w:t xml:space="preserve"> </w:t>
      </w:r>
      <w:r w:rsidR="00F54F8E">
        <w:rPr>
          <w:noProof/>
          <w:sz w:val="24"/>
          <w:szCs w:val="24"/>
          <w:lang w:eastAsia="hr-HR"/>
        </w:rPr>
        <w:t>eura</w:t>
      </w:r>
      <w:r w:rsidRPr="00850FB1">
        <w:rPr>
          <w:noProof/>
          <w:sz w:val="24"/>
          <w:szCs w:val="24"/>
          <w:lang w:eastAsia="hr-HR"/>
        </w:rPr>
        <w:t xml:space="preserve">, najveći iznos od </w:t>
      </w:r>
      <w:r w:rsidR="00F54F8E">
        <w:rPr>
          <w:noProof/>
          <w:sz w:val="24"/>
          <w:szCs w:val="24"/>
          <w:lang w:eastAsia="hr-HR"/>
        </w:rPr>
        <w:t>5.43</w:t>
      </w:r>
      <w:r w:rsidR="00143A16">
        <w:rPr>
          <w:noProof/>
          <w:sz w:val="24"/>
          <w:szCs w:val="24"/>
          <w:lang w:eastAsia="hr-HR"/>
        </w:rPr>
        <w:t>7</w:t>
      </w:r>
      <w:r w:rsidR="00F54F8E">
        <w:rPr>
          <w:noProof/>
          <w:sz w:val="24"/>
          <w:szCs w:val="24"/>
          <w:lang w:eastAsia="hr-HR"/>
        </w:rPr>
        <w:t>.</w:t>
      </w:r>
      <w:r w:rsidR="00143A16">
        <w:rPr>
          <w:noProof/>
          <w:sz w:val="24"/>
          <w:szCs w:val="24"/>
          <w:lang w:eastAsia="hr-HR"/>
        </w:rPr>
        <w:t>268,32</w:t>
      </w:r>
      <w:r w:rsidR="00F54F8E" w:rsidRPr="00850FB1">
        <w:rPr>
          <w:noProof/>
          <w:sz w:val="24"/>
          <w:szCs w:val="24"/>
          <w:lang w:eastAsia="hr-HR"/>
        </w:rPr>
        <w:t xml:space="preserve"> </w:t>
      </w:r>
      <w:r w:rsidR="00F54F8E">
        <w:rPr>
          <w:noProof/>
          <w:sz w:val="24"/>
          <w:szCs w:val="24"/>
          <w:lang w:eastAsia="hr-HR"/>
        </w:rPr>
        <w:t>eura</w:t>
      </w:r>
      <w:r w:rsidRPr="00850FB1">
        <w:rPr>
          <w:noProof/>
          <w:sz w:val="24"/>
          <w:szCs w:val="24"/>
          <w:lang w:eastAsia="hr-HR"/>
        </w:rPr>
        <w:t xml:space="preserve"> ostvaren je iz izvora financiranja Prihodi za posebne namjene, dok je iz izvora financiranja Vlastiti prihodi ostvareno </w:t>
      </w:r>
      <w:r w:rsidR="00F54F8E">
        <w:rPr>
          <w:noProof/>
          <w:sz w:val="24"/>
          <w:szCs w:val="24"/>
          <w:lang w:eastAsia="hr-HR"/>
        </w:rPr>
        <w:t>3</w:t>
      </w:r>
      <w:r w:rsidR="00143A16">
        <w:rPr>
          <w:noProof/>
          <w:sz w:val="24"/>
          <w:szCs w:val="24"/>
          <w:lang w:eastAsia="hr-HR"/>
        </w:rPr>
        <w:t>26</w:t>
      </w:r>
      <w:r w:rsidR="00F54F8E">
        <w:rPr>
          <w:noProof/>
          <w:sz w:val="24"/>
          <w:szCs w:val="24"/>
          <w:lang w:eastAsia="hr-HR"/>
        </w:rPr>
        <w:t>.</w:t>
      </w:r>
      <w:r w:rsidR="00143A16">
        <w:rPr>
          <w:noProof/>
          <w:sz w:val="24"/>
          <w:szCs w:val="24"/>
          <w:lang w:eastAsia="hr-HR"/>
        </w:rPr>
        <w:t>942</w:t>
      </w:r>
      <w:r w:rsidR="00F54F8E">
        <w:rPr>
          <w:noProof/>
          <w:sz w:val="24"/>
          <w:szCs w:val="24"/>
          <w:lang w:eastAsia="hr-HR"/>
        </w:rPr>
        <w:t>,</w:t>
      </w:r>
      <w:r w:rsidR="00143A16">
        <w:rPr>
          <w:noProof/>
          <w:sz w:val="24"/>
          <w:szCs w:val="24"/>
          <w:lang w:eastAsia="hr-HR"/>
        </w:rPr>
        <w:t>1</w:t>
      </w:r>
      <w:r w:rsidR="00F54F8E">
        <w:rPr>
          <w:noProof/>
          <w:sz w:val="24"/>
          <w:szCs w:val="24"/>
          <w:lang w:eastAsia="hr-HR"/>
        </w:rPr>
        <w:t>7 eura</w:t>
      </w:r>
      <w:r w:rsidR="00DD2CF7" w:rsidRPr="00850FB1">
        <w:rPr>
          <w:noProof/>
          <w:sz w:val="24"/>
          <w:szCs w:val="24"/>
          <w:lang w:eastAsia="hr-HR"/>
        </w:rPr>
        <w:t>. I</w:t>
      </w:r>
      <w:r w:rsidRPr="00850FB1">
        <w:rPr>
          <w:noProof/>
          <w:sz w:val="24"/>
          <w:szCs w:val="24"/>
          <w:lang w:eastAsia="hr-HR"/>
        </w:rPr>
        <w:t>z izvora Pomoći</w:t>
      </w:r>
      <w:r w:rsidR="00DD2CF7" w:rsidRPr="00850FB1">
        <w:rPr>
          <w:noProof/>
          <w:sz w:val="24"/>
          <w:szCs w:val="24"/>
          <w:lang w:eastAsia="hr-HR"/>
        </w:rPr>
        <w:t xml:space="preserve"> ostvareno je </w:t>
      </w:r>
      <w:r w:rsidR="00F54F8E">
        <w:rPr>
          <w:noProof/>
          <w:sz w:val="24"/>
          <w:szCs w:val="24"/>
          <w:lang w:eastAsia="hr-HR"/>
        </w:rPr>
        <w:t>14</w:t>
      </w:r>
      <w:r w:rsidR="009A486B">
        <w:rPr>
          <w:noProof/>
          <w:sz w:val="24"/>
          <w:szCs w:val="24"/>
          <w:lang w:eastAsia="hr-HR"/>
        </w:rPr>
        <w:t>.</w:t>
      </w:r>
      <w:r w:rsidR="00F54F8E">
        <w:rPr>
          <w:noProof/>
          <w:sz w:val="24"/>
          <w:szCs w:val="24"/>
          <w:lang w:eastAsia="hr-HR"/>
        </w:rPr>
        <w:t>230</w:t>
      </w:r>
      <w:r w:rsidR="006B5409">
        <w:rPr>
          <w:noProof/>
          <w:sz w:val="24"/>
          <w:szCs w:val="24"/>
          <w:lang w:eastAsia="hr-HR"/>
        </w:rPr>
        <w:t>,</w:t>
      </w:r>
      <w:r w:rsidR="00F54F8E">
        <w:rPr>
          <w:noProof/>
          <w:sz w:val="24"/>
          <w:szCs w:val="24"/>
          <w:lang w:eastAsia="hr-HR"/>
        </w:rPr>
        <w:t>80</w:t>
      </w:r>
      <w:r w:rsidR="009A486B">
        <w:rPr>
          <w:noProof/>
          <w:sz w:val="24"/>
          <w:szCs w:val="24"/>
          <w:lang w:eastAsia="hr-HR"/>
        </w:rPr>
        <w:t xml:space="preserve"> eur</w:t>
      </w:r>
      <w:r w:rsidR="00F54F8E">
        <w:rPr>
          <w:noProof/>
          <w:sz w:val="24"/>
          <w:szCs w:val="24"/>
          <w:lang w:eastAsia="hr-HR"/>
        </w:rPr>
        <w:t>a</w:t>
      </w:r>
      <w:r w:rsidR="00850FB1" w:rsidRPr="00850FB1">
        <w:rPr>
          <w:noProof/>
          <w:sz w:val="24"/>
          <w:szCs w:val="24"/>
          <w:lang w:eastAsia="hr-HR"/>
        </w:rPr>
        <w:t>.</w:t>
      </w:r>
    </w:p>
    <w:p w14:paraId="43D20FEC" w14:textId="77777777" w:rsidR="006B5409" w:rsidRPr="003030EC" w:rsidRDefault="006B5409" w:rsidP="001F03F2">
      <w:pPr>
        <w:rPr>
          <w:b/>
          <w:noProof/>
          <w:color w:val="FF0000"/>
          <w:sz w:val="24"/>
          <w:szCs w:val="24"/>
          <w:lang w:eastAsia="hr-HR"/>
        </w:rPr>
      </w:pPr>
    </w:p>
    <w:p w14:paraId="6CB9B3DD" w14:textId="77777777" w:rsidR="005A4613" w:rsidRPr="00516696" w:rsidRDefault="005A4613" w:rsidP="001F03F2">
      <w:pPr>
        <w:rPr>
          <w:b/>
          <w:noProof/>
          <w:sz w:val="24"/>
          <w:szCs w:val="24"/>
          <w:lang w:eastAsia="hr-HR"/>
        </w:rPr>
      </w:pPr>
      <w:r w:rsidRPr="00516696">
        <w:rPr>
          <w:b/>
          <w:noProof/>
          <w:sz w:val="24"/>
          <w:szCs w:val="24"/>
          <w:lang w:eastAsia="hr-HR"/>
        </w:rPr>
        <w:t>RASHODI</w:t>
      </w:r>
    </w:p>
    <w:p w14:paraId="2B360B0A" w14:textId="77777777" w:rsidR="005A4613" w:rsidRPr="00516696" w:rsidRDefault="005A4613" w:rsidP="001F03F2">
      <w:pPr>
        <w:rPr>
          <w:noProof/>
          <w:sz w:val="24"/>
          <w:szCs w:val="24"/>
          <w:lang w:eastAsia="hr-HR"/>
        </w:rPr>
      </w:pPr>
    </w:p>
    <w:p w14:paraId="53524BE2" w14:textId="77777777" w:rsidR="001F03F2" w:rsidRPr="00516696" w:rsidRDefault="002F143E" w:rsidP="001F03F2">
      <w:pPr>
        <w:rPr>
          <w:i/>
          <w:noProof/>
          <w:sz w:val="24"/>
          <w:szCs w:val="24"/>
          <w:lang w:eastAsia="hr-HR"/>
        </w:rPr>
      </w:pPr>
      <w:r w:rsidRPr="00516696">
        <w:rPr>
          <w:i/>
          <w:noProof/>
          <w:sz w:val="24"/>
          <w:szCs w:val="24"/>
          <w:lang w:eastAsia="hr-HR"/>
        </w:rPr>
        <w:t xml:space="preserve">Tablica </w:t>
      </w:r>
      <w:r w:rsidR="008C22F3" w:rsidRPr="00516696">
        <w:rPr>
          <w:i/>
          <w:noProof/>
          <w:sz w:val="24"/>
          <w:szCs w:val="24"/>
          <w:lang w:eastAsia="hr-HR"/>
        </w:rPr>
        <w:t>3</w:t>
      </w:r>
      <w:r w:rsidRPr="00516696">
        <w:rPr>
          <w:i/>
          <w:noProof/>
          <w:sz w:val="24"/>
          <w:szCs w:val="24"/>
          <w:lang w:eastAsia="hr-HR"/>
        </w:rPr>
        <w:t xml:space="preserve">. </w:t>
      </w:r>
      <w:r w:rsidR="006B59D4" w:rsidRPr="00516696">
        <w:rPr>
          <w:i/>
          <w:noProof/>
          <w:sz w:val="24"/>
          <w:szCs w:val="24"/>
          <w:lang w:eastAsia="hr-HR"/>
        </w:rPr>
        <w:t>R</w:t>
      </w:r>
      <w:r w:rsidR="001F03F2" w:rsidRPr="00516696">
        <w:rPr>
          <w:i/>
          <w:noProof/>
          <w:sz w:val="24"/>
          <w:szCs w:val="24"/>
          <w:lang w:eastAsia="hr-HR"/>
        </w:rPr>
        <w:t>ashodi prema ekonomskoj klasifikaciji</w:t>
      </w:r>
    </w:p>
    <w:tbl>
      <w:tblPr>
        <w:tblW w:w="10240" w:type="dxa"/>
        <w:tblLook w:val="04A0" w:firstRow="1" w:lastRow="0" w:firstColumn="1" w:lastColumn="0" w:noHBand="0" w:noVBand="1"/>
      </w:tblPr>
      <w:tblGrid>
        <w:gridCol w:w="3115"/>
        <w:gridCol w:w="1691"/>
        <w:gridCol w:w="1799"/>
        <w:gridCol w:w="1691"/>
        <w:gridCol w:w="972"/>
        <w:gridCol w:w="972"/>
      </w:tblGrid>
      <w:tr w:rsidR="00F54F8E" w:rsidRPr="00F54F8E" w14:paraId="6BE89EDA" w14:textId="77777777" w:rsidTr="00F54F8E">
        <w:trPr>
          <w:trHeight w:val="801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E92278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9DC1A74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- 6.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EFAB34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487ECA3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- 6. 2025.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8E2811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1A401DE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F54F8E" w:rsidRPr="00F54F8E" w14:paraId="2B513B2E" w14:textId="77777777" w:rsidTr="00F54F8E">
        <w:trPr>
          <w:trHeight w:val="270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2FF0A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F0790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1EC7D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A54B2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00FF9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19F18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6=4/3*100</w:t>
            </w:r>
          </w:p>
        </w:tc>
      </w:tr>
      <w:tr w:rsidR="00F54F8E" w:rsidRPr="00F54F8E" w14:paraId="7FC81004" w14:textId="77777777" w:rsidTr="00F54F8E">
        <w:trPr>
          <w:trHeight w:val="600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65816EB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PREMA EKONOMSKOJ KLASIFIKACIJI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C7432F3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7.343.874,37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0D37E99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22.780.000,00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CACAA1D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8.180.867,30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7072887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111,40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8AA7E9D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35,91</w:t>
            </w:r>
          </w:p>
        </w:tc>
      </w:tr>
      <w:tr w:rsidR="00F54F8E" w:rsidRPr="00F54F8E" w14:paraId="4413BB24" w14:textId="77777777" w:rsidTr="00F54F8E">
        <w:trPr>
          <w:trHeight w:val="270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91B787E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DEA4A2B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6.365.803,03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02C5000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19.765.000,00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F05FDEB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6.816.971,93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3EB0C1E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107,09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B3CBC61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34,49</w:t>
            </w:r>
          </w:p>
        </w:tc>
      </w:tr>
      <w:tr w:rsidR="00F54F8E" w:rsidRPr="00F54F8E" w14:paraId="757076D0" w14:textId="77777777" w:rsidTr="00F54F8E">
        <w:trPr>
          <w:trHeight w:val="270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F2F1E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31 Rashodi za zaposlene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F5FFA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4.830.068,52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1B7A3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10.460.000,00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EBC70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4.858.628,93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FCE74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100,59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03A12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46,45</w:t>
            </w:r>
          </w:p>
        </w:tc>
      </w:tr>
      <w:tr w:rsidR="00F54F8E" w:rsidRPr="00F54F8E" w14:paraId="3DA5D026" w14:textId="77777777" w:rsidTr="00F54F8E">
        <w:trPr>
          <w:trHeight w:val="270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B0531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32 Materijalni rashodi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31DEA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1.519.181,87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F7040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6.730.000,00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223B7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1.909.779,18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0DC81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125,71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FD1A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28,38</w:t>
            </w:r>
          </w:p>
        </w:tc>
      </w:tr>
      <w:tr w:rsidR="00F54F8E" w:rsidRPr="00F54F8E" w14:paraId="549D9DCA" w14:textId="77777777" w:rsidTr="00F54F8E">
        <w:trPr>
          <w:trHeight w:val="270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2F0578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34 Financijski rashodi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180E5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6.190,54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AA2C9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210.000,00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3F1CD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25.413,88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03E2E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410,53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E5C73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12,10</w:t>
            </w:r>
          </w:p>
        </w:tc>
      </w:tr>
      <w:tr w:rsidR="00F54F8E" w:rsidRPr="00F54F8E" w14:paraId="3CF64CC2" w14:textId="77777777" w:rsidTr="00F54F8E">
        <w:trPr>
          <w:trHeight w:val="53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B2B85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36 Pomoći dane u inozemstvo i unutar općeg proračuna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15EB0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10.362,10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A69D2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2.065.000,00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A55A3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8.498,16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41877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82,01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B8DA9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0,41</w:t>
            </w:r>
          </w:p>
        </w:tc>
      </w:tr>
      <w:tr w:rsidR="00F54F8E" w:rsidRPr="00F54F8E" w14:paraId="6CE16A78" w14:textId="77777777" w:rsidTr="00F54F8E">
        <w:trPr>
          <w:trHeight w:val="510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B8970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47B29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595D5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1E039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CE5C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8F97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F54F8E" w:rsidRPr="00F54F8E" w14:paraId="610C5238" w14:textId="77777777" w:rsidTr="00F54F8E">
        <w:trPr>
          <w:trHeight w:val="270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BE7CE6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38 Ostali rashodi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A4E69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ED73A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300.000,00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B80B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14.651,78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84E05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5EF5C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4,88</w:t>
            </w:r>
          </w:p>
        </w:tc>
      </w:tr>
      <w:tr w:rsidR="00F54F8E" w:rsidRPr="00F54F8E" w14:paraId="7C80A5E3" w14:textId="77777777" w:rsidTr="00F54F8E">
        <w:trPr>
          <w:trHeight w:val="50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30BB1838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49CE913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978.071,34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2A63160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3.015.000,00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CC127EA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1.363.895,37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924EF09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139,45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8F2FA7E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45,24</w:t>
            </w:r>
          </w:p>
        </w:tc>
      </w:tr>
      <w:tr w:rsidR="00F54F8E" w:rsidRPr="00F54F8E" w14:paraId="23832A35" w14:textId="77777777" w:rsidTr="00F54F8E">
        <w:trPr>
          <w:trHeight w:val="50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68E7CE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41 Rashodi za nabavu </w:t>
            </w:r>
            <w:proofErr w:type="spellStart"/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neproizvedene</w:t>
            </w:r>
            <w:proofErr w:type="spellEnd"/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dugotrajne imovine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1AADE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113.608,28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4E92D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850.000,00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25E14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463.439,14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0137C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407,93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85D61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54,52</w:t>
            </w:r>
          </w:p>
        </w:tc>
      </w:tr>
      <w:tr w:rsidR="00F54F8E" w:rsidRPr="00F54F8E" w14:paraId="0451E7C1" w14:textId="77777777" w:rsidTr="00F54F8E">
        <w:trPr>
          <w:trHeight w:val="50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F6F02B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89550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193.137,20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4E2EB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1.815.000,00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4ECD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870.265,00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EB03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450,59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59215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47,95</w:t>
            </w:r>
          </w:p>
        </w:tc>
      </w:tr>
      <w:tr w:rsidR="00F54F8E" w:rsidRPr="00F54F8E" w14:paraId="080904DB" w14:textId="77777777" w:rsidTr="00F54F8E">
        <w:trPr>
          <w:trHeight w:val="501"/>
        </w:trPr>
        <w:tc>
          <w:tcPr>
            <w:tcW w:w="3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48C76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45 Rashodi za dodatna ulaganja na nefinancijskoj imovini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D714B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671.325,86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02FB3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350.000,00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2BD9F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30.191,23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13D33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4,50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5AF75" w14:textId="77777777" w:rsidR="00F54F8E" w:rsidRPr="00F54F8E" w:rsidRDefault="00F54F8E" w:rsidP="00F54F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F54F8E">
              <w:rPr>
                <w:rFonts w:ascii="Arial" w:hAnsi="Arial" w:cs="Arial"/>
                <w:color w:val="000000"/>
                <w:sz w:val="20"/>
                <w:lang w:val="hr-HR" w:eastAsia="hr-HR"/>
              </w:rPr>
              <w:t>8,63</w:t>
            </w:r>
          </w:p>
        </w:tc>
      </w:tr>
    </w:tbl>
    <w:p w14:paraId="7C1E816F" w14:textId="77777777" w:rsidR="001350A3" w:rsidRPr="00147D17" w:rsidRDefault="001350A3" w:rsidP="001F03F2">
      <w:pPr>
        <w:rPr>
          <w:i/>
          <w:noProof/>
          <w:sz w:val="24"/>
          <w:szCs w:val="24"/>
          <w:lang w:eastAsia="hr-HR"/>
        </w:rPr>
      </w:pPr>
    </w:p>
    <w:p w14:paraId="39586D3F" w14:textId="29482F73" w:rsidR="002D00FE" w:rsidRPr="00CA3AC7" w:rsidRDefault="002D00FE" w:rsidP="002D00FE">
      <w:pPr>
        <w:rPr>
          <w:noProof/>
          <w:sz w:val="24"/>
          <w:szCs w:val="24"/>
          <w:lang w:eastAsia="hr-HR"/>
        </w:rPr>
      </w:pPr>
      <w:r w:rsidRPr="0031644D">
        <w:rPr>
          <w:noProof/>
          <w:sz w:val="24"/>
          <w:szCs w:val="24"/>
          <w:lang w:eastAsia="hr-HR"/>
        </w:rPr>
        <w:lastRenderedPageBreak/>
        <w:t xml:space="preserve">Izvršenje ukupnih rashoda </w:t>
      </w:r>
      <w:r w:rsidR="00F72B19">
        <w:rPr>
          <w:noProof/>
          <w:sz w:val="24"/>
          <w:szCs w:val="24"/>
          <w:lang w:eastAsia="hr-HR"/>
        </w:rPr>
        <w:t>za 202</w:t>
      </w:r>
      <w:r w:rsidR="003C79A6">
        <w:rPr>
          <w:noProof/>
          <w:sz w:val="24"/>
          <w:szCs w:val="24"/>
          <w:lang w:eastAsia="hr-HR"/>
        </w:rPr>
        <w:t>5</w:t>
      </w:r>
      <w:r w:rsidR="00F72B19">
        <w:rPr>
          <w:noProof/>
          <w:sz w:val="24"/>
          <w:szCs w:val="24"/>
          <w:lang w:eastAsia="hr-HR"/>
        </w:rPr>
        <w:t>. godinu</w:t>
      </w:r>
      <w:r w:rsidRPr="0031644D">
        <w:rPr>
          <w:noProof/>
          <w:sz w:val="24"/>
          <w:szCs w:val="24"/>
          <w:lang w:eastAsia="hr-HR"/>
        </w:rPr>
        <w:t xml:space="preserve"> iznosi </w:t>
      </w:r>
      <w:r w:rsidR="003C79A6">
        <w:rPr>
          <w:noProof/>
          <w:sz w:val="24"/>
          <w:szCs w:val="24"/>
          <w:lang w:eastAsia="hr-HR"/>
        </w:rPr>
        <w:t>8</w:t>
      </w:r>
      <w:r w:rsidR="00F72B19">
        <w:rPr>
          <w:noProof/>
          <w:sz w:val="24"/>
          <w:szCs w:val="24"/>
          <w:lang w:eastAsia="hr-HR"/>
        </w:rPr>
        <w:t>.</w:t>
      </w:r>
      <w:r w:rsidR="003C79A6">
        <w:rPr>
          <w:noProof/>
          <w:sz w:val="24"/>
          <w:szCs w:val="24"/>
          <w:lang w:eastAsia="hr-HR"/>
        </w:rPr>
        <w:t>180</w:t>
      </w:r>
      <w:r w:rsidR="00F72B19">
        <w:rPr>
          <w:noProof/>
          <w:sz w:val="24"/>
          <w:szCs w:val="24"/>
          <w:lang w:eastAsia="hr-HR"/>
        </w:rPr>
        <w:t>.</w:t>
      </w:r>
      <w:r w:rsidR="006B5409">
        <w:rPr>
          <w:noProof/>
          <w:sz w:val="24"/>
          <w:szCs w:val="24"/>
          <w:lang w:eastAsia="hr-HR"/>
        </w:rPr>
        <w:t>8</w:t>
      </w:r>
      <w:r w:rsidR="003C79A6">
        <w:rPr>
          <w:noProof/>
          <w:sz w:val="24"/>
          <w:szCs w:val="24"/>
          <w:lang w:eastAsia="hr-HR"/>
        </w:rPr>
        <w:t>67</w:t>
      </w:r>
      <w:r w:rsidR="006B5409">
        <w:rPr>
          <w:noProof/>
          <w:sz w:val="24"/>
          <w:szCs w:val="24"/>
          <w:lang w:eastAsia="hr-HR"/>
        </w:rPr>
        <w:t>,3</w:t>
      </w:r>
      <w:r w:rsidR="003C79A6">
        <w:rPr>
          <w:noProof/>
          <w:sz w:val="24"/>
          <w:szCs w:val="24"/>
          <w:lang w:eastAsia="hr-HR"/>
        </w:rPr>
        <w:t>0</w:t>
      </w:r>
      <w:r w:rsidR="00F72B19">
        <w:rPr>
          <w:noProof/>
          <w:sz w:val="24"/>
          <w:szCs w:val="24"/>
          <w:lang w:eastAsia="hr-HR"/>
        </w:rPr>
        <w:t xml:space="preserve"> eur</w:t>
      </w:r>
      <w:r w:rsidR="003C79A6">
        <w:rPr>
          <w:noProof/>
          <w:sz w:val="24"/>
          <w:szCs w:val="24"/>
          <w:lang w:eastAsia="hr-HR"/>
        </w:rPr>
        <w:t>a</w:t>
      </w:r>
      <w:r w:rsidRPr="0031644D">
        <w:rPr>
          <w:noProof/>
          <w:sz w:val="24"/>
          <w:szCs w:val="24"/>
          <w:lang w:eastAsia="hr-HR"/>
        </w:rPr>
        <w:t xml:space="preserve"> što čini </w:t>
      </w:r>
      <w:r w:rsidR="006B5409">
        <w:rPr>
          <w:noProof/>
          <w:sz w:val="24"/>
          <w:szCs w:val="24"/>
          <w:lang w:eastAsia="hr-HR"/>
        </w:rPr>
        <w:t>3</w:t>
      </w:r>
      <w:r w:rsidR="00143A16">
        <w:rPr>
          <w:noProof/>
          <w:sz w:val="24"/>
          <w:szCs w:val="24"/>
          <w:lang w:eastAsia="hr-HR"/>
        </w:rPr>
        <w:t>5</w:t>
      </w:r>
      <w:r w:rsidR="006B5409">
        <w:rPr>
          <w:noProof/>
          <w:sz w:val="24"/>
          <w:szCs w:val="24"/>
          <w:lang w:eastAsia="hr-HR"/>
        </w:rPr>
        <w:t>,</w:t>
      </w:r>
      <w:r w:rsidR="003C79A6">
        <w:rPr>
          <w:noProof/>
          <w:sz w:val="24"/>
          <w:szCs w:val="24"/>
          <w:lang w:eastAsia="hr-HR"/>
        </w:rPr>
        <w:t>9</w:t>
      </w:r>
      <w:r w:rsidR="00143A16">
        <w:rPr>
          <w:noProof/>
          <w:sz w:val="24"/>
          <w:szCs w:val="24"/>
          <w:lang w:eastAsia="hr-HR"/>
        </w:rPr>
        <w:t>1</w:t>
      </w:r>
      <w:r w:rsidRPr="0031644D">
        <w:rPr>
          <w:noProof/>
          <w:sz w:val="24"/>
          <w:szCs w:val="24"/>
          <w:lang w:eastAsia="hr-HR"/>
        </w:rPr>
        <w:t>% planiranih rashoda</w:t>
      </w:r>
      <w:r w:rsidR="000D7FA0">
        <w:rPr>
          <w:noProof/>
          <w:sz w:val="24"/>
          <w:szCs w:val="24"/>
          <w:lang w:eastAsia="hr-HR"/>
        </w:rPr>
        <w:t xml:space="preserve"> te povećanje od </w:t>
      </w:r>
      <w:r w:rsidR="00143A16">
        <w:rPr>
          <w:noProof/>
          <w:sz w:val="24"/>
          <w:szCs w:val="24"/>
          <w:lang w:eastAsia="hr-HR"/>
        </w:rPr>
        <w:t>11</w:t>
      </w:r>
      <w:r w:rsidR="000D7FA0">
        <w:rPr>
          <w:noProof/>
          <w:sz w:val="24"/>
          <w:szCs w:val="24"/>
          <w:lang w:eastAsia="hr-HR"/>
        </w:rPr>
        <w:t>,</w:t>
      </w:r>
      <w:r w:rsidR="00143A16">
        <w:rPr>
          <w:noProof/>
          <w:sz w:val="24"/>
          <w:szCs w:val="24"/>
          <w:lang w:eastAsia="hr-HR"/>
        </w:rPr>
        <w:t>40</w:t>
      </w:r>
      <w:r w:rsidR="000D7FA0">
        <w:rPr>
          <w:noProof/>
          <w:sz w:val="24"/>
          <w:szCs w:val="24"/>
          <w:lang w:eastAsia="hr-HR"/>
        </w:rPr>
        <w:t>% u odnosu na isto razdoblje prethodne godine</w:t>
      </w:r>
      <w:r w:rsidRPr="0031644D">
        <w:rPr>
          <w:noProof/>
          <w:sz w:val="24"/>
          <w:szCs w:val="24"/>
          <w:lang w:eastAsia="hr-HR"/>
        </w:rPr>
        <w:t xml:space="preserve">. </w:t>
      </w:r>
      <w:r w:rsidRPr="00CA3AC7">
        <w:rPr>
          <w:noProof/>
          <w:sz w:val="24"/>
          <w:szCs w:val="24"/>
          <w:lang w:eastAsia="hr-HR"/>
        </w:rPr>
        <w:t xml:space="preserve">Rashodi poslovanja izvršeni su u iznosu od </w:t>
      </w:r>
      <w:r w:rsidR="006B5409">
        <w:rPr>
          <w:noProof/>
          <w:sz w:val="24"/>
          <w:szCs w:val="24"/>
          <w:lang w:eastAsia="hr-HR"/>
        </w:rPr>
        <w:t>6.</w:t>
      </w:r>
      <w:r w:rsidR="003C79A6">
        <w:rPr>
          <w:noProof/>
          <w:sz w:val="24"/>
          <w:szCs w:val="24"/>
          <w:lang w:eastAsia="hr-HR"/>
        </w:rPr>
        <w:t>816</w:t>
      </w:r>
      <w:r w:rsidR="006B5409">
        <w:rPr>
          <w:noProof/>
          <w:sz w:val="24"/>
          <w:szCs w:val="24"/>
          <w:lang w:eastAsia="hr-HR"/>
        </w:rPr>
        <w:t>.</w:t>
      </w:r>
      <w:r w:rsidR="003C79A6">
        <w:rPr>
          <w:noProof/>
          <w:sz w:val="24"/>
          <w:szCs w:val="24"/>
          <w:lang w:eastAsia="hr-HR"/>
        </w:rPr>
        <w:t>971</w:t>
      </w:r>
      <w:r w:rsidR="006B5409">
        <w:rPr>
          <w:noProof/>
          <w:sz w:val="24"/>
          <w:szCs w:val="24"/>
          <w:lang w:eastAsia="hr-HR"/>
        </w:rPr>
        <w:t>,</w:t>
      </w:r>
      <w:r w:rsidR="003C79A6">
        <w:rPr>
          <w:noProof/>
          <w:sz w:val="24"/>
          <w:szCs w:val="24"/>
          <w:lang w:eastAsia="hr-HR"/>
        </w:rPr>
        <w:t>9</w:t>
      </w:r>
      <w:r w:rsidR="006B5409">
        <w:rPr>
          <w:noProof/>
          <w:sz w:val="24"/>
          <w:szCs w:val="24"/>
          <w:lang w:eastAsia="hr-HR"/>
        </w:rPr>
        <w:t>3</w:t>
      </w:r>
      <w:r w:rsidR="00F72B19">
        <w:rPr>
          <w:noProof/>
          <w:sz w:val="24"/>
          <w:szCs w:val="24"/>
          <w:lang w:eastAsia="hr-HR"/>
        </w:rPr>
        <w:t xml:space="preserve"> eur</w:t>
      </w:r>
      <w:r w:rsidR="000D7FA0">
        <w:rPr>
          <w:noProof/>
          <w:sz w:val="24"/>
          <w:szCs w:val="24"/>
          <w:lang w:eastAsia="hr-HR"/>
        </w:rPr>
        <w:t>a</w:t>
      </w:r>
      <w:r w:rsidRPr="00CA3AC7">
        <w:rPr>
          <w:noProof/>
          <w:sz w:val="24"/>
          <w:szCs w:val="24"/>
          <w:lang w:eastAsia="hr-HR"/>
        </w:rPr>
        <w:t xml:space="preserve">, odnosno </w:t>
      </w:r>
      <w:r w:rsidR="006B5409">
        <w:rPr>
          <w:noProof/>
          <w:sz w:val="24"/>
          <w:szCs w:val="24"/>
          <w:lang w:eastAsia="hr-HR"/>
        </w:rPr>
        <w:t>3</w:t>
      </w:r>
      <w:r w:rsidR="003C79A6">
        <w:rPr>
          <w:noProof/>
          <w:sz w:val="24"/>
          <w:szCs w:val="24"/>
          <w:lang w:eastAsia="hr-HR"/>
        </w:rPr>
        <w:t>4</w:t>
      </w:r>
      <w:r w:rsidR="006B5409">
        <w:rPr>
          <w:noProof/>
          <w:sz w:val="24"/>
          <w:szCs w:val="24"/>
          <w:lang w:eastAsia="hr-HR"/>
        </w:rPr>
        <w:t>,</w:t>
      </w:r>
      <w:r w:rsidR="003C79A6">
        <w:rPr>
          <w:noProof/>
          <w:sz w:val="24"/>
          <w:szCs w:val="24"/>
          <w:lang w:eastAsia="hr-HR"/>
        </w:rPr>
        <w:t>49</w:t>
      </w:r>
      <w:r w:rsidRPr="00CA3AC7">
        <w:rPr>
          <w:noProof/>
          <w:sz w:val="24"/>
          <w:szCs w:val="24"/>
          <w:lang w:eastAsia="hr-HR"/>
        </w:rPr>
        <w:t xml:space="preserve">% planiranih rashoda poslovanja, dok su rashodi za nabavu nefinancijske imovine izvršeni u iznosu od </w:t>
      </w:r>
      <w:r w:rsidR="000D7FA0">
        <w:rPr>
          <w:noProof/>
          <w:sz w:val="24"/>
          <w:szCs w:val="24"/>
          <w:lang w:eastAsia="hr-HR"/>
        </w:rPr>
        <w:t>1.363</w:t>
      </w:r>
      <w:r w:rsidR="006B5409">
        <w:rPr>
          <w:noProof/>
          <w:sz w:val="24"/>
          <w:szCs w:val="24"/>
          <w:lang w:eastAsia="hr-HR"/>
        </w:rPr>
        <w:t>.</w:t>
      </w:r>
      <w:r w:rsidR="000D7FA0">
        <w:rPr>
          <w:noProof/>
          <w:sz w:val="24"/>
          <w:szCs w:val="24"/>
          <w:lang w:eastAsia="hr-HR"/>
        </w:rPr>
        <w:t>895,37</w:t>
      </w:r>
      <w:r w:rsidR="00F72B19">
        <w:rPr>
          <w:noProof/>
          <w:sz w:val="24"/>
          <w:szCs w:val="24"/>
          <w:lang w:eastAsia="hr-HR"/>
        </w:rPr>
        <w:t xml:space="preserve"> eur</w:t>
      </w:r>
      <w:r w:rsidR="000D7FA0">
        <w:rPr>
          <w:noProof/>
          <w:sz w:val="24"/>
          <w:szCs w:val="24"/>
          <w:lang w:eastAsia="hr-HR"/>
        </w:rPr>
        <w:t>a</w:t>
      </w:r>
      <w:r w:rsidRPr="00CA3AC7">
        <w:rPr>
          <w:noProof/>
          <w:sz w:val="24"/>
          <w:szCs w:val="24"/>
          <w:lang w:eastAsia="hr-HR"/>
        </w:rPr>
        <w:t xml:space="preserve">, odnosno </w:t>
      </w:r>
      <w:r w:rsidR="000D7FA0">
        <w:rPr>
          <w:noProof/>
          <w:sz w:val="24"/>
          <w:szCs w:val="24"/>
          <w:lang w:eastAsia="hr-HR"/>
        </w:rPr>
        <w:t>45,24</w:t>
      </w:r>
      <w:r w:rsidRPr="00CA3AC7">
        <w:rPr>
          <w:noProof/>
          <w:sz w:val="24"/>
          <w:szCs w:val="24"/>
          <w:lang w:eastAsia="hr-HR"/>
        </w:rPr>
        <w:t>% plana.</w:t>
      </w:r>
      <w:r w:rsidR="00A86916" w:rsidRPr="00CA3AC7">
        <w:rPr>
          <w:noProof/>
          <w:sz w:val="24"/>
          <w:szCs w:val="24"/>
          <w:lang w:eastAsia="hr-HR"/>
        </w:rPr>
        <w:t xml:space="preserve"> U odnosu na isto razdoblje prethodne godine rashodi poslovanja bilježe </w:t>
      </w:r>
      <w:r w:rsidR="00147D17" w:rsidRPr="00CA3AC7">
        <w:rPr>
          <w:noProof/>
          <w:sz w:val="24"/>
          <w:szCs w:val="24"/>
          <w:lang w:eastAsia="hr-HR"/>
        </w:rPr>
        <w:t>povećanje</w:t>
      </w:r>
      <w:r w:rsidR="00A86916" w:rsidRPr="00CA3AC7">
        <w:rPr>
          <w:noProof/>
          <w:sz w:val="24"/>
          <w:szCs w:val="24"/>
          <w:lang w:eastAsia="hr-HR"/>
        </w:rPr>
        <w:t xml:space="preserve"> od </w:t>
      </w:r>
      <w:r w:rsidR="000D7FA0">
        <w:rPr>
          <w:noProof/>
          <w:sz w:val="24"/>
          <w:szCs w:val="24"/>
          <w:lang w:eastAsia="hr-HR"/>
        </w:rPr>
        <w:t>7</w:t>
      </w:r>
      <w:r w:rsidR="006B5409">
        <w:rPr>
          <w:noProof/>
          <w:sz w:val="24"/>
          <w:szCs w:val="24"/>
          <w:lang w:eastAsia="hr-HR"/>
        </w:rPr>
        <w:t>,</w:t>
      </w:r>
      <w:r w:rsidR="000D7FA0">
        <w:rPr>
          <w:noProof/>
          <w:sz w:val="24"/>
          <w:szCs w:val="24"/>
          <w:lang w:eastAsia="hr-HR"/>
        </w:rPr>
        <w:t>09</w:t>
      </w:r>
      <w:r w:rsidR="00A86916" w:rsidRPr="00CA3AC7">
        <w:rPr>
          <w:noProof/>
          <w:sz w:val="24"/>
          <w:szCs w:val="24"/>
          <w:lang w:eastAsia="hr-HR"/>
        </w:rPr>
        <w:t xml:space="preserve">%, a rashodi za nabavu nefinancijske imovine </w:t>
      </w:r>
      <w:r w:rsidR="000D7FA0">
        <w:rPr>
          <w:noProof/>
          <w:sz w:val="24"/>
          <w:szCs w:val="24"/>
          <w:lang w:eastAsia="hr-HR"/>
        </w:rPr>
        <w:t>39</w:t>
      </w:r>
      <w:r w:rsidR="006B5409">
        <w:rPr>
          <w:noProof/>
          <w:sz w:val="24"/>
          <w:szCs w:val="24"/>
          <w:lang w:eastAsia="hr-HR"/>
        </w:rPr>
        <w:t>,</w:t>
      </w:r>
      <w:r w:rsidR="000D7FA0">
        <w:rPr>
          <w:noProof/>
          <w:sz w:val="24"/>
          <w:szCs w:val="24"/>
          <w:lang w:eastAsia="hr-HR"/>
        </w:rPr>
        <w:t>45</w:t>
      </w:r>
      <w:r w:rsidR="00A86916" w:rsidRPr="00CA3AC7">
        <w:rPr>
          <w:noProof/>
          <w:sz w:val="24"/>
          <w:szCs w:val="24"/>
          <w:lang w:eastAsia="hr-HR"/>
        </w:rPr>
        <w:t>%.</w:t>
      </w:r>
    </w:p>
    <w:p w14:paraId="1063DAE3" w14:textId="261E0635" w:rsidR="00A109B5" w:rsidRPr="00F129EB" w:rsidRDefault="0090453E" w:rsidP="001F03F2">
      <w:pPr>
        <w:rPr>
          <w:noProof/>
          <w:sz w:val="24"/>
          <w:szCs w:val="24"/>
          <w:lang w:eastAsia="hr-HR"/>
        </w:rPr>
      </w:pPr>
      <w:r w:rsidRPr="00CA3AC7">
        <w:rPr>
          <w:noProof/>
          <w:sz w:val="24"/>
          <w:szCs w:val="24"/>
          <w:lang w:eastAsia="hr-HR"/>
        </w:rPr>
        <w:t>Unutar kategorije rashoda poslovanja</w:t>
      </w:r>
      <w:r w:rsidR="00362C08">
        <w:rPr>
          <w:noProof/>
          <w:sz w:val="24"/>
          <w:szCs w:val="24"/>
          <w:lang w:eastAsia="hr-HR"/>
        </w:rPr>
        <w:t>,</w:t>
      </w:r>
      <w:r w:rsidRPr="00CA3AC7">
        <w:rPr>
          <w:noProof/>
          <w:sz w:val="24"/>
          <w:szCs w:val="24"/>
          <w:lang w:eastAsia="hr-HR"/>
        </w:rPr>
        <w:t xml:space="preserve"> r</w:t>
      </w:r>
      <w:r w:rsidR="001F03F2" w:rsidRPr="00CA3AC7">
        <w:rPr>
          <w:noProof/>
          <w:sz w:val="24"/>
          <w:szCs w:val="24"/>
          <w:lang w:eastAsia="hr-HR"/>
        </w:rPr>
        <w:t xml:space="preserve">ashodi </w:t>
      </w:r>
      <w:r w:rsidR="005F6FA1" w:rsidRPr="00CA3AC7">
        <w:rPr>
          <w:noProof/>
          <w:sz w:val="24"/>
          <w:szCs w:val="24"/>
          <w:lang w:eastAsia="hr-HR"/>
        </w:rPr>
        <w:t>z</w:t>
      </w:r>
      <w:r w:rsidR="001F03F2" w:rsidRPr="00CA3AC7">
        <w:rPr>
          <w:noProof/>
          <w:sz w:val="24"/>
          <w:szCs w:val="24"/>
          <w:lang w:eastAsia="hr-HR"/>
        </w:rPr>
        <w:t>a</w:t>
      </w:r>
      <w:r w:rsidR="005F6FA1" w:rsidRPr="00CA3AC7">
        <w:rPr>
          <w:noProof/>
          <w:sz w:val="24"/>
          <w:szCs w:val="24"/>
          <w:lang w:eastAsia="hr-HR"/>
        </w:rPr>
        <w:t xml:space="preserve"> zaposlene u 202</w:t>
      </w:r>
      <w:r w:rsidR="00362C08">
        <w:rPr>
          <w:noProof/>
          <w:sz w:val="24"/>
          <w:szCs w:val="24"/>
          <w:lang w:eastAsia="hr-HR"/>
        </w:rPr>
        <w:t>5</w:t>
      </w:r>
      <w:r w:rsidR="005F6FA1" w:rsidRPr="00CA3AC7">
        <w:rPr>
          <w:noProof/>
          <w:sz w:val="24"/>
          <w:szCs w:val="24"/>
          <w:lang w:eastAsia="hr-HR"/>
        </w:rPr>
        <w:t xml:space="preserve">. godini izvršeni su u iznosu od </w:t>
      </w:r>
      <w:r w:rsidR="00EF2A2B">
        <w:rPr>
          <w:noProof/>
          <w:sz w:val="24"/>
          <w:szCs w:val="24"/>
          <w:lang w:eastAsia="hr-HR"/>
        </w:rPr>
        <w:t>4.8</w:t>
      </w:r>
      <w:r w:rsidR="00362C08">
        <w:rPr>
          <w:noProof/>
          <w:sz w:val="24"/>
          <w:szCs w:val="24"/>
          <w:lang w:eastAsia="hr-HR"/>
        </w:rPr>
        <w:t>58.628,93</w:t>
      </w:r>
      <w:r w:rsidR="005F6FA1" w:rsidRPr="00CA3AC7">
        <w:rPr>
          <w:noProof/>
          <w:sz w:val="24"/>
          <w:szCs w:val="24"/>
          <w:lang w:eastAsia="hr-HR"/>
        </w:rPr>
        <w:t xml:space="preserve"> </w:t>
      </w:r>
      <w:r w:rsidR="00F72B19">
        <w:rPr>
          <w:noProof/>
          <w:sz w:val="24"/>
          <w:szCs w:val="24"/>
          <w:lang w:eastAsia="hr-HR"/>
        </w:rPr>
        <w:t>eur</w:t>
      </w:r>
      <w:r w:rsidR="005F6FA1" w:rsidRPr="00CA3AC7">
        <w:rPr>
          <w:noProof/>
          <w:sz w:val="24"/>
          <w:szCs w:val="24"/>
          <w:lang w:eastAsia="hr-HR"/>
        </w:rPr>
        <w:t xml:space="preserve"> što </w:t>
      </w:r>
      <w:r w:rsidR="00F72B19">
        <w:rPr>
          <w:noProof/>
          <w:sz w:val="24"/>
          <w:szCs w:val="24"/>
          <w:lang w:eastAsia="hr-HR"/>
        </w:rPr>
        <w:t xml:space="preserve">je </w:t>
      </w:r>
      <w:r w:rsidR="00362C08">
        <w:rPr>
          <w:noProof/>
          <w:sz w:val="24"/>
          <w:szCs w:val="24"/>
          <w:lang w:eastAsia="hr-HR"/>
        </w:rPr>
        <w:t>na razini prošle godine. M</w:t>
      </w:r>
      <w:r w:rsidR="007D5C67" w:rsidRPr="00CA3AC7">
        <w:rPr>
          <w:noProof/>
          <w:sz w:val="24"/>
          <w:szCs w:val="24"/>
          <w:lang w:eastAsia="hr-HR"/>
        </w:rPr>
        <w:t>aterijalni rashodi iznos</w:t>
      </w:r>
      <w:r w:rsidR="00362C08">
        <w:rPr>
          <w:noProof/>
          <w:sz w:val="24"/>
          <w:szCs w:val="24"/>
          <w:lang w:eastAsia="hr-HR"/>
        </w:rPr>
        <w:t>e</w:t>
      </w:r>
      <w:r w:rsidR="007D5C67" w:rsidRPr="00CA3AC7">
        <w:rPr>
          <w:noProof/>
          <w:sz w:val="24"/>
          <w:szCs w:val="24"/>
          <w:lang w:eastAsia="hr-HR"/>
        </w:rPr>
        <w:t xml:space="preserve"> </w:t>
      </w:r>
      <w:r w:rsidR="00EF2A2B">
        <w:rPr>
          <w:noProof/>
          <w:sz w:val="24"/>
          <w:szCs w:val="24"/>
          <w:lang w:eastAsia="hr-HR"/>
        </w:rPr>
        <w:t>1.</w:t>
      </w:r>
      <w:r w:rsidR="00362C08">
        <w:rPr>
          <w:noProof/>
          <w:sz w:val="24"/>
          <w:szCs w:val="24"/>
          <w:lang w:eastAsia="hr-HR"/>
        </w:rPr>
        <w:t>909</w:t>
      </w:r>
      <w:r w:rsidR="00EF2A2B">
        <w:rPr>
          <w:noProof/>
          <w:sz w:val="24"/>
          <w:szCs w:val="24"/>
          <w:lang w:eastAsia="hr-HR"/>
        </w:rPr>
        <w:t>.</w:t>
      </w:r>
      <w:r w:rsidR="00362C08">
        <w:rPr>
          <w:noProof/>
          <w:sz w:val="24"/>
          <w:szCs w:val="24"/>
          <w:lang w:eastAsia="hr-HR"/>
        </w:rPr>
        <w:t>779</w:t>
      </w:r>
      <w:r w:rsidR="00EF2A2B">
        <w:rPr>
          <w:noProof/>
          <w:sz w:val="24"/>
          <w:szCs w:val="24"/>
          <w:lang w:eastAsia="hr-HR"/>
        </w:rPr>
        <w:t>,</w:t>
      </w:r>
      <w:r w:rsidR="00362C08">
        <w:rPr>
          <w:noProof/>
          <w:sz w:val="24"/>
          <w:szCs w:val="24"/>
          <w:lang w:eastAsia="hr-HR"/>
        </w:rPr>
        <w:t>1</w:t>
      </w:r>
      <w:r w:rsidR="00EF2A2B">
        <w:rPr>
          <w:noProof/>
          <w:sz w:val="24"/>
          <w:szCs w:val="24"/>
          <w:lang w:eastAsia="hr-HR"/>
        </w:rPr>
        <w:t>8</w:t>
      </w:r>
      <w:r w:rsidR="00E93ED2">
        <w:rPr>
          <w:noProof/>
          <w:sz w:val="24"/>
          <w:szCs w:val="24"/>
          <w:lang w:eastAsia="hr-HR"/>
        </w:rPr>
        <w:t xml:space="preserve"> eur</w:t>
      </w:r>
      <w:r w:rsidR="00362C08">
        <w:rPr>
          <w:noProof/>
          <w:sz w:val="24"/>
          <w:szCs w:val="24"/>
          <w:lang w:eastAsia="hr-HR"/>
        </w:rPr>
        <w:t>a</w:t>
      </w:r>
      <w:r w:rsidR="007D5C67" w:rsidRPr="00CA3AC7">
        <w:rPr>
          <w:noProof/>
          <w:sz w:val="24"/>
          <w:szCs w:val="24"/>
          <w:lang w:eastAsia="hr-HR"/>
        </w:rPr>
        <w:t xml:space="preserve"> </w:t>
      </w:r>
      <w:r w:rsidR="00EF2A2B">
        <w:rPr>
          <w:noProof/>
          <w:sz w:val="24"/>
          <w:szCs w:val="24"/>
          <w:lang w:eastAsia="hr-HR"/>
        </w:rPr>
        <w:t xml:space="preserve">što je </w:t>
      </w:r>
      <w:r w:rsidR="00362C08">
        <w:rPr>
          <w:noProof/>
          <w:sz w:val="24"/>
          <w:szCs w:val="24"/>
          <w:lang w:eastAsia="hr-HR"/>
        </w:rPr>
        <w:t>povećanje od 25,71</w:t>
      </w:r>
      <w:r w:rsidR="007D5C67" w:rsidRPr="00CA3AC7">
        <w:rPr>
          <w:noProof/>
          <w:sz w:val="24"/>
          <w:szCs w:val="24"/>
          <w:lang w:eastAsia="hr-HR"/>
        </w:rPr>
        <w:t xml:space="preserve">% </w:t>
      </w:r>
      <w:r w:rsidR="00EF2A2B">
        <w:rPr>
          <w:noProof/>
          <w:sz w:val="24"/>
          <w:szCs w:val="24"/>
          <w:lang w:eastAsia="hr-HR"/>
        </w:rPr>
        <w:t>u odnosu na isto izvještajno razdoblje prošle godine</w:t>
      </w:r>
      <w:r w:rsidR="00362C08">
        <w:rPr>
          <w:noProof/>
          <w:sz w:val="24"/>
          <w:szCs w:val="24"/>
          <w:lang w:eastAsia="hr-HR"/>
        </w:rPr>
        <w:t xml:space="preserve"> </w:t>
      </w:r>
      <w:r w:rsidR="00143A16">
        <w:rPr>
          <w:noProof/>
          <w:sz w:val="24"/>
          <w:szCs w:val="24"/>
          <w:lang w:eastAsia="hr-HR"/>
        </w:rPr>
        <w:t xml:space="preserve">dok je </w:t>
      </w:r>
      <w:r w:rsidR="00362C08">
        <w:rPr>
          <w:noProof/>
          <w:sz w:val="24"/>
          <w:szCs w:val="24"/>
          <w:lang w:eastAsia="hr-HR"/>
        </w:rPr>
        <w:t>izvršenje u odnosu na Financijski plan za 2025. godinu</w:t>
      </w:r>
      <w:r w:rsidR="00143A16">
        <w:rPr>
          <w:noProof/>
          <w:sz w:val="24"/>
          <w:szCs w:val="24"/>
          <w:lang w:eastAsia="hr-HR"/>
        </w:rPr>
        <w:t xml:space="preserve"> 28,38%</w:t>
      </w:r>
      <w:r w:rsidR="00362C08">
        <w:rPr>
          <w:noProof/>
          <w:sz w:val="24"/>
          <w:szCs w:val="24"/>
          <w:lang w:eastAsia="hr-HR"/>
        </w:rPr>
        <w:t>.</w:t>
      </w:r>
      <w:r w:rsidR="007D5C67" w:rsidRPr="00CA3AC7">
        <w:rPr>
          <w:noProof/>
          <w:sz w:val="24"/>
          <w:szCs w:val="24"/>
          <w:lang w:eastAsia="hr-HR"/>
        </w:rPr>
        <w:t xml:space="preserve"> </w:t>
      </w:r>
      <w:r w:rsidR="00E93ED2">
        <w:rPr>
          <w:noProof/>
          <w:sz w:val="24"/>
          <w:szCs w:val="24"/>
          <w:lang w:eastAsia="hr-HR"/>
        </w:rPr>
        <w:t>Pomoći</w:t>
      </w:r>
      <w:r w:rsidR="00EF2A2B">
        <w:rPr>
          <w:noProof/>
          <w:sz w:val="24"/>
          <w:szCs w:val="24"/>
          <w:lang w:eastAsia="hr-HR"/>
        </w:rPr>
        <w:t xml:space="preserve"> dane u inozemstvo i unutar općeg proračuna</w:t>
      </w:r>
      <w:r w:rsidR="00E93ED2">
        <w:rPr>
          <w:noProof/>
          <w:sz w:val="24"/>
          <w:szCs w:val="24"/>
          <w:lang w:eastAsia="hr-HR"/>
        </w:rPr>
        <w:t xml:space="preserve"> su izvršene u</w:t>
      </w:r>
      <w:r w:rsidR="007D5C67" w:rsidRPr="00CA3AC7">
        <w:rPr>
          <w:noProof/>
          <w:sz w:val="24"/>
          <w:szCs w:val="24"/>
          <w:lang w:eastAsia="hr-HR"/>
        </w:rPr>
        <w:t xml:space="preserve"> iznosu od </w:t>
      </w:r>
      <w:r w:rsidR="00362C08">
        <w:rPr>
          <w:noProof/>
          <w:sz w:val="24"/>
          <w:szCs w:val="24"/>
          <w:lang w:eastAsia="hr-HR"/>
        </w:rPr>
        <w:t>8</w:t>
      </w:r>
      <w:r w:rsidR="00EF2A2B">
        <w:rPr>
          <w:noProof/>
          <w:sz w:val="24"/>
          <w:szCs w:val="24"/>
          <w:lang w:eastAsia="hr-HR"/>
        </w:rPr>
        <w:t>.</w:t>
      </w:r>
      <w:r w:rsidR="00362C08">
        <w:rPr>
          <w:noProof/>
          <w:sz w:val="24"/>
          <w:szCs w:val="24"/>
          <w:lang w:eastAsia="hr-HR"/>
        </w:rPr>
        <w:t>498</w:t>
      </w:r>
      <w:r w:rsidR="00EF2A2B">
        <w:rPr>
          <w:noProof/>
          <w:sz w:val="24"/>
          <w:szCs w:val="24"/>
          <w:lang w:eastAsia="hr-HR"/>
        </w:rPr>
        <w:t>,1</w:t>
      </w:r>
      <w:r w:rsidR="00180B7E">
        <w:rPr>
          <w:noProof/>
          <w:sz w:val="24"/>
          <w:szCs w:val="24"/>
          <w:lang w:eastAsia="hr-HR"/>
        </w:rPr>
        <w:t>6</w:t>
      </w:r>
      <w:r w:rsidR="00E93ED2">
        <w:rPr>
          <w:noProof/>
          <w:sz w:val="24"/>
          <w:szCs w:val="24"/>
          <w:lang w:eastAsia="hr-HR"/>
        </w:rPr>
        <w:t xml:space="preserve"> eur</w:t>
      </w:r>
      <w:r w:rsidR="00362C08">
        <w:rPr>
          <w:noProof/>
          <w:sz w:val="24"/>
          <w:szCs w:val="24"/>
          <w:lang w:eastAsia="hr-HR"/>
        </w:rPr>
        <w:t>a</w:t>
      </w:r>
      <w:r w:rsidR="007D5C67" w:rsidRPr="00CA3AC7">
        <w:rPr>
          <w:noProof/>
          <w:sz w:val="24"/>
          <w:szCs w:val="24"/>
          <w:lang w:eastAsia="hr-HR"/>
        </w:rPr>
        <w:t xml:space="preserve"> </w:t>
      </w:r>
      <w:r w:rsidR="00EF2A2B">
        <w:rPr>
          <w:noProof/>
          <w:sz w:val="24"/>
          <w:szCs w:val="24"/>
          <w:lang w:eastAsia="hr-HR"/>
        </w:rPr>
        <w:t>što je smanjenje od 17,</w:t>
      </w:r>
      <w:r w:rsidR="00362C08">
        <w:rPr>
          <w:noProof/>
          <w:sz w:val="24"/>
          <w:szCs w:val="24"/>
          <w:lang w:eastAsia="hr-HR"/>
        </w:rPr>
        <w:t>99</w:t>
      </w:r>
      <w:r w:rsidR="007D5C67" w:rsidRPr="00CA3AC7">
        <w:rPr>
          <w:noProof/>
          <w:sz w:val="24"/>
          <w:szCs w:val="24"/>
          <w:lang w:eastAsia="hr-HR"/>
        </w:rPr>
        <w:t xml:space="preserve">% </w:t>
      </w:r>
      <w:r w:rsidR="00EF2A2B">
        <w:rPr>
          <w:noProof/>
          <w:sz w:val="24"/>
          <w:szCs w:val="24"/>
          <w:lang w:eastAsia="hr-HR"/>
        </w:rPr>
        <w:t>u odnosu na isto izvještajno razdoblje prošle godine</w:t>
      </w:r>
      <w:r w:rsidR="00E93ED2">
        <w:rPr>
          <w:noProof/>
          <w:sz w:val="24"/>
          <w:szCs w:val="24"/>
          <w:lang w:eastAsia="hr-HR"/>
        </w:rPr>
        <w:t>.</w:t>
      </w:r>
      <w:r w:rsidR="00A109B5" w:rsidRPr="00CA3AC7">
        <w:rPr>
          <w:noProof/>
          <w:sz w:val="24"/>
          <w:szCs w:val="24"/>
          <w:lang w:eastAsia="hr-HR"/>
        </w:rPr>
        <w:t xml:space="preserve"> </w:t>
      </w:r>
      <w:r w:rsidR="00A109B5" w:rsidRPr="00F129EB">
        <w:rPr>
          <w:noProof/>
          <w:sz w:val="24"/>
          <w:szCs w:val="24"/>
          <w:lang w:eastAsia="hr-HR"/>
        </w:rPr>
        <w:t xml:space="preserve">Financijski rashodi su izvršeni u iznosu </w:t>
      </w:r>
      <w:r w:rsidR="00A109B5" w:rsidRPr="00720F19">
        <w:rPr>
          <w:noProof/>
          <w:sz w:val="24"/>
          <w:szCs w:val="24"/>
          <w:lang w:eastAsia="hr-HR"/>
        </w:rPr>
        <w:t>od</w:t>
      </w:r>
      <w:r w:rsidR="00720F19" w:rsidRPr="00720F19">
        <w:rPr>
          <w:noProof/>
          <w:sz w:val="24"/>
          <w:szCs w:val="24"/>
          <w:lang w:eastAsia="hr-HR"/>
        </w:rPr>
        <w:t xml:space="preserve"> </w:t>
      </w:r>
      <w:r w:rsidR="00362C08">
        <w:rPr>
          <w:noProof/>
          <w:sz w:val="24"/>
          <w:szCs w:val="24"/>
          <w:lang w:eastAsia="hr-HR"/>
        </w:rPr>
        <w:t>25</w:t>
      </w:r>
      <w:r w:rsidR="00FC1DB5" w:rsidRPr="00720F19">
        <w:rPr>
          <w:noProof/>
          <w:sz w:val="24"/>
          <w:szCs w:val="24"/>
          <w:lang w:eastAsia="hr-HR"/>
        </w:rPr>
        <w:t>.</w:t>
      </w:r>
      <w:r w:rsidR="00362C08">
        <w:rPr>
          <w:noProof/>
          <w:sz w:val="24"/>
          <w:szCs w:val="24"/>
          <w:lang w:eastAsia="hr-HR"/>
        </w:rPr>
        <w:t>413</w:t>
      </w:r>
      <w:r w:rsidR="00FC1DB5" w:rsidRPr="00720F19">
        <w:rPr>
          <w:noProof/>
          <w:sz w:val="24"/>
          <w:szCs w:val="24"/>
          <w:lang w:eastAsia="hr-HR"/>
        </w:rPr>
        <w:t>,</w:t>
      </w:r>
      <w:r w:rsidR="00362C08">
        <w:rPr>
          <w:noProof/>
          <w:sz w:val="24"/>
          <w:szCs w:val="24"/>
          <w:lang w:eastAsia="hr-HR"/>
        </w:rPr>
        <w:t>88</w:t>
      </w:r>
      <w:r w:rsidR="00E93ED2" w:rsidRPr="00720F19">
        <w:rPr>
          <w:noProof/>
          <w:sz w:val="24"/>
          <w:szCs w:val="24"/>
          <w:lang w:eastAsia="hr-HR"/>
        </w:rPr>
        <w:t xml:space="preserve"> eur</w:t>
      </w:r>
      <w:r w:rsidR="00A109B5" w:rsidRPr="00720F19">
        <w:rPr>
          <w:noProof/>
          <w:sz w:val="24"/>
          <w:szCs w:val="24"/>
          <w:lang w:eastAsia="hr-HR"/>
        </w:rPr>
        <w:t xml:space="preserve"> </w:t>
      </w:r>
      <w:r w:rsidR="004159CE" w:rsidRPr="00720F19">
        <w:rPr>
          <w:noProof/>
          <w:sz w:val="24"/>
          <w:szCs w:val="24"/>
          <w:lang w:eastAsia="hr-HR"/>
        </w:rPr>
        <w:t xml:space="preserve">što je povećanje od </w:t>
      </w:r>
      <w:r w:rsidR="00362C08">
        <w:rPr>
          <w:noProof/>
          <w:sz w:val="24"/>
          <w:szCs w:val="24"/>
          <w:lang w:eastAsia="hr-HR"/>
        </w:rPr>
        <w:t>3</w:t>
      </w:r>
      <w:r w:rsidR="004159CE" w:rsidRPr="00720F19">
        <w:rPr>
          <w:noProof/>
          <w:sz w:val="24"/>
          <w:szCs w:val="24"/>
          <w:lang w:eastAsia="hr-HR"/>
        </w:rPr>
        <w:t>1</w:t>
      </w:r>
      <w:r w:rsidR="00EF2A2B" w:rsidRPr="00720F19">
        <w:rPr>
          <w:noProof/>
          <w:sz w:val="24"/>
          <w:szCs w:val="24"/>
          <w:lang w:eastAsia="hr-HR"/>
        </w:rPr>
        <w:t>0</w:t>
      </w:r>
      <w:r w:rsidR="004159CE" w:rsidRPr="00720F19">
        <w:rPr>
          <w:noProof/>
          <w:sz w:val="24"/>
          <w:szCs w:val="24"/>
          <w:lang w:eastAsia="hr-HR"/>
        </w:rPr>
        <w:t>,</w:t>
      </w:r>
      <w:r w:rsidR="00362C08">
        <w:rPr>
          <w:noProof/>
          <w:sz w:val="24"/>
          <w:szCs w:val="24"/>
          <w:lang w:eastAsia="hr-HR"/>
        </w:rPr>
        <w:t>53</w:t>
      </w:r>
      <w:r w:rsidR="004159CE" w:rsidRPr="00720F19">
        <w:rPr>
          <w:noProof/>
          <w:sz w:val="24"/>
          <w:szCs w:val="24"/>
          <w:lang w:eastAsia="hr-HR"/>
        </w:rPr>
        <w:t xml:space="preserve">% u odnosu na </w:t>
      </w:r>
      <w:r w:rsidR="00EF2A2B" w:rsidRPr="00720F19">
        <w:rPr>
          <w:noProof/>
          <w:sz w:val="24"/>
          <w:szCs w:val="24"/>
          <w:lang w:eastAsia="hr-HR"/>
        </w:rPr>
        <w:t>isto izvještajno razdoblje prošle godine</w:t>
      </w:r>
      <w:r w:rsidR="004159CE" w:rsidRPr="00720F19">
        <w:rPr>
          <w:noProof/>
          <w:sz w:val="24"/>
          <w:szCs w:val="24"/>
          <w:lang w:eastAsia="hr-HR"/>
        </w:rPr>
        <w:t>.</w:t>
      </w:r>
    </w:p>
    <w:p w14:paraId="61D0F780" w14:textId="1C256FC1" w:rsidR="003D4203" w:rsidRPr="00F129EB" w:rsidRDefault="0090453E" w:rsidP="001F03F2">
      <w:pPr>
        <w:rPr>
          <w:noProof/>
          <w:sz w:val="24"/>
          <w:szCs w:val="24"/>
          <w:lang w:eastAsia="hr-HR"/>
        </w:rPr>
      </w:pPr>
      <w:r w:rsidRPr="00F129EB">
        <w:rPr>
          <w:noProof/>
          <w:sz w:val="24"/>
          <w:szCs w:val="24"/>
          <w:lang w:eastAsia="hr-HR"/>
        </w:rPr>
        <w:t>Unutar kategorije rashoda za nabavu nefinancijske imovine u 202</w:t>
      </w:r>
      <w:r w:rsidR="00362C08">
        <w:rPr>
          <w:noProof/>
          <w:sz w:val="24"/>
          <w:szCs w:val="24"/>
          <w:lang w:eastAsia="hr-HR"/>
        </w:rPr>
        <w:t>5</w:t>
      </w:r>
      <w:r w:rsidRPr="00F129EB">
        <w:rPr>
          <w:noProof/>
          <w:sz w:val="24"/>
          <w:szCs w:val="24"/>
          <w:lang w:eastAsia="hr-HR"/>
        </w:rPr>
        <w:t>. godin</w:t>
      </w:r>
      <w:r w:rsidR="00E93ED2">
        <w:rPr>
          <w:noProof/>
          <w:sz w:val="24"/>
          <w:szCs w:val="24"/>
          <w:lang w:eastAsia="hr-HR"/>
        </w:rPr>
        <w:t>i</w:t>
      </w:r>
      <w:r w:rsidRPr="00F129EB">
        <w:rPr>
          <w:noProof/>
          <w:sz w:val="24"/>
          <w:szCs w:val="24"/>
          <w:lang w:eastAsia="hr-HR"/>
        </w:rPr>
        <w:t xml:space="preserve"> najznačajniji iznos odnosi se na rashode za </w:t>
      </w:r>
      <w:r w:rsidR="007944DC">
        <w:rPr>
          <w:noProof/>
          <w:sz w:val="24"/>
          <w:szCs w:val="24"/>
          <w:lang w:eastAsia="hr-HR"/>
        </w:rPr>
        <w:t xml:space="preserve">nabavu proizvedene dugotrajne imovine </w:t>
      </w:r>
      <w:r w:rsidR="00EF2A2B">
        <w:rPr>
          <w:noProof/>
          <w:sz w:val="24"/>
          <w:szCs w:val="24"/>
          <w:lang w:eastAsia="hr-HR"/>
        </w:rPr>
        <w:t xml:space="preserve">u iznosu od </w:t>
      </w:r>
      <w:r w:rsidR="007944DC">
        <w:rPr>
          <w:noProof/>
          <w:sz w:val="24"/>
          <w:szCs w:val="24"/>
          <w:lang w:eastAsia="hr-HR"/>
        </w:rPr>
        <w:t>8</w:t>
      </w:r>
      <w:r w:rsidR="00EF2A2B">
        <w:rPr>
          <w:noProof/>
          <w:sz w:val="24"/>
          <w:szCs w:val="24"/>
          <w:lang w:eastAsia="hr-HR"/>
        </w:rPr>
        <w:t>7</w:t>
      </w:r>
      <w:r w:rsidR="007944DC">
        <w:rPr>
          <w:noProof/>
          <w:sz w:val="24"/>
          <w:szCs w:val="24"/>
          <w:lang w:eastAsia="hr-HR"/>
        </w:rPr>
        <w:t>0</w:t>
      </w:r>
      <w:r w:rsidR="00EF2A2B">
        <w:rPr>
          <w:noProof/>
          <w:sz w:val="24"/>
          <w:szCs w:val="24"/>
          <w:lang w:eastAsia="hr-HR"/>
        </w:rPr>
        <w:t>.2</w:t>
      </w:r>
      <w:r w:rsidR="007944DC">
        <w:rPr>
          <w:noProof/>
          <w:sz w:val="24"/>
          <w:szCs w:val="24"/>
          <w:lang w:eastAsia="hr-HR"/>
        </w:rPr>
        <w:t>6</w:t>
      </w:r>
      <w:r w:rsidR="00EF2A2B">
        <w:rPr>
          <w:noProof/>
          <w:sz w:val="24"/>
          <w:szCs w:val="24"/>
          <w:lang w:eastAsia="hr-HR"/>
        </w:rPr>
        <w:t>5,</w:t>
      </w:r>
      <w:r w:rsidR="007944DC">
        <w:rPr>
          <w:noProof/>
          <w:sz w:val="24"/>
          <w:szCs w:val="24"/>
          <w:lang w:eastAsia="hr-HR"/>
        </w:rPr>
        <w:t>00</w:t>
      </w:r>
      <w:r w:rsidR="00EF2A2B">
        <w:rPr>
          <w:noProof/>
          <w:sz w:val="24"/>
          <w:szCs w:val="24"/>
          <w:lang w:eastAsia="hr-HR"/>
        </w:rPr>
        <w:t xml:space="preserve"> eur</w:t>
      </w:r>
      <w:r w:rsidR="007944DC">
        <w:rPr>
          <w:noProof/>
          <w:sz w:val="24"/>
          <w:szCs w:val="24"/>
          <w:lang w:eastAsia="hr-HR"/>
        </w:rPr>
        <w:t>a</w:t>
      </w:r>
      <w:r w:rsidR="00EF2A2B">
        <w:rPr>
          <w:noProof/>
          <w:sz w:val="24"/>
          <w:szCs w:val="24"/>
          <w:lang w:eastAsia="hr-HR"/>
        </w:rPr>
        <w:t xml:space="preserve">. Rashodi za </w:t>
      </w:r>
      <w:r w:rsidR="007944DC">
        <w:rPr>
          <w:noProof/>
          <w:sz w:val="24"/>
          <w:szCs w:val="24"/>
          <w:lang w:eastAsia="hr-HR"/>
        </w:rPr>
        <w:t>dodatna ulaganja na nefinancijskoj imovini</w:t>
      </w:r>
      <w:r w:rsidR="00E93ED2">
        <w:rPr>
          <w:noProof/>
          <w:sz w:val="24"/>
          <w:szCs w:val="24"/>
          <w:lang w:eastAsia="hr-HR"/>
        </w:rPr>
        <w:t xml:space="preserve"> </w:t>
      </w:r>
      <w:r w:rsidR="00EF2A2B">
        <w:rPr>
          <w:noProof/>
          <w:sz w:val="24"/>
          <w:szCs w:val="24"/>
          <w:lang w:eastAsia="hr-HR"/>
        </w:rPr>
        <w:t xml:space="preserve">izvšeni su u </w:t>
      </w:r>
      <w:r w:rsidR="00E93ED2">
        <w:rPr>
          <w:noProof/>
          <w:sz w:val="24"/>
          <w:szCs w:val="24"/>
          <w:lang w:eastAsia="hr-HR"/>
        </w:rPr>
        <w:t xml:space="preserve">iznosu od </w:t>
      </w:r>
      <w:r w:rsidR="007944DC">
        <w:rPr>
          <w:noProof/>
          <w:sz w:val="24"/>
          <w:szCs w:val="24"/>
          <w:lang w:eastAsia="hr-HR"/>
        </w:rPr>
        <w:t>30</w:t>
      </w:r>
      <w:r w:rsidR="00EF2A2B">
        <w:rPr>
          <w:noProof/>
          <w:sz w:val="24"/>
          <w:szCs w:val="24"/>
          <w:lang w:eastAsia="hr-HR"/>
        </w:rPr>
        <w:t>.1</w:t>
      </w:r>
      <w:r w:rsidR="007944DC">
        <w:rPr>
          <w:noProof/>
          <w:sz w:val="24"/>
          <w:szCs w:val="24"/>
          <w:lang w:eastAsia="hr-HR"/>
        </w:rPr>
        <w:t>91</w:t>
      </w:r>
      <w:r w:rsidR="00EF2A2B">
        <w:rPr>
          <w:noProof/>
          <w:sz w:val="24"/>
          <w:szCs w:val="24"/>
          <w:lang w:eastAsia="hr-HR"/>
        </w:rPr>
        <w:t>,2</w:t>
      </w:r>
      <w:r w:rsidR="007944DC">
        <w:rPr>
          <w:noProof/>
          <w:sz w:val="24"/>
          <w:szCs w:val="24"/>
          <w:lang w:eastAsia="hr-HR"/>
        </w:rPr>
        <w:t>3</w:t>
      </w:r>
      <w:r w:rsidR="00E93ED2">
        <w:rPr>
          <w:noProof/>
          <w:sz w:val="24"/>
          <w:szCs w:val="24"/>
          <w:lang w:eastAsia="hr-HR"/>
        </w:rPr>
        <w:t xml:space="preserve"> eur</w:t>
      </w:r>
      <w:r w:rsidR="007944DC">
        <w:rPr>
          <w:noProof/>
          <w:sz w:val="24"/>
          <w:szCs w:val="24"/>
          <w:lang w:eastAsia="hr-HR"/>
        </w:rPr>
        <w:t>a</w:t>
      </w:r>
      <w:r w:rsidR="00E93ED2">
        <w:rPr>
          <w:noProof/>
          <w:sz w:val="24"/>
          <w:szCs w:val="24"/>
          <w:lang w:eastAsia="hr-HR"/>
        </w:rPr>
        <w:t xml:space="preserve"> </w:t>
      </w:r>
      <w:r w:rsidR="00EF2A2B">
        <w:rPr>
          <w:noProof/>
          <w:sz w:val="24"/>
          <w:szCs w:val="24"/>
          <w:lang w:eastAsia="hr-HR"/>
        </w:rPr>
        <w:t xml:space="preserve">dok su rashodi za nabavu </w:t>
      </w:r>
      <w:r w:rsidR="00EF2A2B" w:rsidRPr="00720F19">
        <w:rPr>
          <w:noProof/>
          <w:sz w:val="24"/>
          <w:szCs w:val="24"/>
          <w:lang w:eastAsia="hr-HR"/>
        </w:rPr>
        <w:t>ne</w:t>
      </w:r>
      <w:r w:rsidR="00720F19" w:rsidRPr="00720F19">
        <w:rPr>
          <w:noProof/>
          <w:sz w:val="24"/>
          <w:szCs w:val="24"/>
          <w:lang w:eastAsia="hr-HR"/>
        </w:rPr>
        <w:t>p</w:t>
      </w:r>
      <w:r w:rsidR="00EF2A2B" w:rsidRPr="00720F19">
        <w:rPr>
          <w:noProof/>
          <w:sz w:val="24"/>
          <w:szCs w:val="24"/>
          <w:lang w:eastAsia="hr-HR"/>
        </w:rPr>
        <w:t>roizvedene dugotrajne</w:t>
      </w:r>
      <w:r w:rsidR="00EF2A2B">
        <w:rPr>
          <w:noProof/>
          <w:sz w:val="24"/>
          <w:szCs w:val="24"/>
          <w:lang w:eastAsia="hr-HR"/>
        </w:rPr>
        <w:t xml:space="preserve"> imovine izvršeni u iznosu od </w:t>
      </w:r>
      <w:r w:rsidR="007944DC">
        <w:rPr>
          <w:noProof/>
          <w:sz w:val="24"/>
          <w:szCs w:val="24"/>
          <w:lang w:eastAsia="hr-HR"/>
        </w:rPr>
        <w:t>463</w:t>
      </w:r>
      <w:r w:rsidR="00EF2A2B">
        <w:rPr>
          <w:noProof/>
          <w:sz w:val="24"/>
          <w:szCs w:val="24"/>
          <w:lang w:eastAsia="hr-HR"/>
        </w:rPr>
        <w:t>.</w:t>
      </w:r>
      <w:r w:rsidR="007944DC">
        <w:rPr>
          <w:noProof/>
          <w:sz w:val="24"/>
          <w:szCs w:val="24"/>
          <w:lang w:eastAsia="hr-HR"/>
        </w:rPr>
        <w:t>439</w:t>
      </w:r>
      <w:r w:rsidR="00EF2A2B">
        <w:rPr>
          <w:noProof/>
          <w:sz w:val="24"/>
          <w:szCs w:val="24"/>
          <w:lang w:eastAsia="hr-HR"/>
        </w:rPr>
        <w:t>,</w:t>
      </w:r>
      <w:r w:rsidR="007944DC">
        <w:rPr>
          <w:noProof/>
          <w:sz w:val="24"/>
          <w:szCs w:val="24"/>
          <w:lang w:eastAsia="hr-HR"/>
        </w:rPr>
        <w:t>14</w:t>
      </w:r>
      <w:r w:rsidR="00EF2A2B">
        <w:rPr>
          <w:noProof/>
          <w:sz w:val="24"/>
          <w:szCs w:val="24"/>
          <w:lang w:eastAsia="hr-HR"/>
        </w:rPr>
        <w:t xml:space="preserve"> eur</w:t>
      </w:r>
      <w:r w:rsidR="007944DC">
        <w:rPr>
          <w:noProof/>
          <w:sz w:val="24"/>
          <w:szCs w:val="24"/>
          <w:lang w:eastAsia="hr-HR"/>
        </w:rPr>
        <w:t>a</w:t>
      </w:r>
      <w:r w:rsidR="00EF2A2B">
        <w:rPr>
          <w:noProof/>
          <w:sz w:val="24"/>
          <w:szCs w:val="24"/>
          <w:lang w:eastAsia="hr-HR"/>
        </w:rPr>
        <w:t xml:space="preserve">. </w:t>
      </w:r>
      <w:r w:rsidR="003D4203" w:rsidRPr="00F129EB">
        <w:rPr>
          <w:noProof/>
          <w:sz w:val="24"/>
          <w:szCs w:val="24"/>
          <w:lang w:eastAsia="hr-HR"/>
        </w:rPr>
        <w:t xml:space="preserve"> </w:t>
      </w:r>
    </w:p>
    <w:p w14:paraId="28B3DCD1" w14:textId="77777777" w:rsidR="005A4613" w:rsidRDefault="005A4613" w:rsidP="003D4203">
      <w:pPr>
        <w:rPr>
          <w:noProof/>
          <w:sz w:val="24"/>
          <w:szCs w:val="24"/>
          <w:lang w:eastAsia="hr-HR"/>
        </w:rPr>
      </w:pPr>
    </w:p>
    <w:p w14:paraId="172B064F" w14:textId="77777777" w:rsidR="004C0C0B" w:rsidRDefault="002F143E" w:rsidP="003D4203">
      <w:pPr>
        <w:rPr>
          <w:i/>
          <w:noProof/>
          <w:sz w:val="24"/>
          <w:szCs w:val="24"/>
          <w:lang w:eastAsia="hr-HR"/>
        </w:rPr>
      </w:pPr>
      <w:r w:rsidRPr="004C0C0B">
        <w:rPr>
          <w:i/>
          <w:noProof/>
          <w:sz w:val="24"/>
          <w:szCs w:val="24"/>
          <w:lang w:eastAsia="hr-HR"/>
        </w:rPr>
        <w:t xml:space="preserve">Tablica </w:t>
      </w:r>
      <w:r w:rsidR="008C22F3" w:rsidRPr="004C0C0B">
        <w:rPr>
          <w:i/>
          <w:noProof/>
          <w:sz w:val="24"/>
          <w:szCs w:val="24"/>
          <w:lang w:eastAsia="hr-HR"/>
        </w:rPr>
        <w:t>4</w:t>
      </w:r>
      <w:r w:rsidRPr="004C0C0B">
        <w:rPr>
          <w:i/>
          <w:noProof/>
          <w:sz w:val="24"/>
          <w:szCs w:val="24"/>
          <w:lang w:eastAsia="hr-HR"/>
        </w:rPr>
        <w:t xml:space="preserve">. </w:t>
      </w:r>
      <w:r w:rsidR="003D4203" w:rsidRPr="004C0C0B">
        <w:rPr>
          <w:i/>
          <w:noProof/>
          <w:sz w:val="24"/>
          <w:szCs w:val="24"/>
          <w:lang w:eastAsia="hr-HR"/>
        </w:rPr>
        <w:t>Rashodi p</w:t>
      </w:r>
      <w:r w:rsidR="002F2FFD" w:rsidRPr="004C0C0B">
        <w:rPr>
          <w:i/>
          <w:noProof/>
          <w:sz w:val="24"/>
          <w:szCs w:val="24"/>
          <w:lang w:eastAsia="hr-HR"/>
        </w:rPr>
        <w:t>rema</w:t>
      </w:r>
      <w:r w:rsidR="003D4203" w:rsidRPr="004C0C0B">
        <w:rPr>
          <w:i/>
          <w:noProof/>
          <w:sz w:val="24"/>
          <w:szCs w:val="24"/>
          <w:lang w:eastAsia="hr-HR"/>
        </w:rPr>
        <w:t xml:space="preserve"> izvorima financiranja</w:t>
      </w:r>
    </w:p>
    <w:tbl>
      <w:tblPr>
        <w:tblW w:w="10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1699"/>
        <w:gridCol w:w="1811"/>
        <w:gridCol w:w="1699"/>
        <w:gridCol w:w="860"/>
        <w:gridCol w:w="938"/>
      </w:tblGrid>
      <w:tr w:rsidR="00B60118" w14:paraId="664C825D" w14:textId="77777777">
        <w:trPr>
          <w:trHeight w:val="801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A716E" w14:textId="77777777" w:rsidR="00B60118" w:rsidRDefault="00B6011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BROJČANA OZNAKA I NAZIV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E7C6C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OSTVARENJE/ IZVRŠENJE          1. - 6. 2024.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837FE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TEKUĆI PLAN     2025.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8CF62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OSTVARENJE/ IZVRŠENJE            1. - 6. 2025.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8C0B7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INDEKS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5E55A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INDEKS</w:t>
            </w:r>
          </w:p>
        </w:tc>
      </w:tr>
      <w:tr w:rsidR="00B60118" w14:paraId="5650F6F3" w14:textId="77777777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20D5E" w14:textId="77777777" w:rsidR="00B60118" w:rsidRDefault="00B6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791FC" w14:textId="77777777" w:rsidR="00B60118" w:rsidRDefault="00B6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84B49" w14:textId="77777777" w:rsidR="00B60118" w:rsidRDefault="00B6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D0816" w14:textId="77777777" w:rsidR="00B60118" w:rsidRDefault="00B6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C024B" w14:textId="77777777" w:rsidR="00B60118" w:rsidRDefault="00B6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5=4/2*100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0C9F8" w14:textId="77777777" w:rsidR="00B60118" w:rsidRDefault="00B601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6=4/3*100</w:t>
            </w:r>
          </w:p>
        </w:tc>
      </w:tr>
      <w:tr w:rsidR="00B60118" w14:paraId="56C943B5" w14:textId="77777777">
        <w:trPr>
          <w:trHeight w:val="501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EA988" w14:textId="77777777" w:rsidR="00B60118" w:rsidRDefault="00B60118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RASHODI PREMA IZVORIMA FINANCIRANJA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625ABDC4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7.343.874,37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4E2EEFAE" w14:textId="3D25D18E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22.7</w:t>
            </w:r>
            <w:r w:rsidR="00DF31C3">
              <w:rPr>
                <w:rFonts w:ascii="Arial" w:hAnsi="Arial" w:cs="Arial"/>
                <w:b/>
                <w:bCs/>
                <w:sz w:val="20"/>
              </w:rPr>
              <w:t>80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  <w:r w:rsidR="00DF31C3">
              <w:rPr>
                <w:rFonts w:ascii="Arial" w:hAnsi="Arial" w:cs="Arial"/>
                <w:b/>
                <w:bCs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</w:rPr>
              <w:t>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79ADBA21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8.180.867,30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A6E9D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111,40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242CC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35,91</w:t>
            </w:r>
          </w:p>
        </w:tc>
      </w:tr>
      <w:tr w:rsidR="00B60118" w14:paraId="78F403BA" w14:textId="77777777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tcMar>
              <w:top w:w="15" w:type="dxa"/>
              <w:left w:w="315" w:type="dxa"/>
              <w:bottom w:w="0" w:type="dxa"/>
              <w:right w:w="15" w:type="dxa"/>
            </w:tcMar>
            <w:vAlign w:val="center"/>
            <w:hideMark/>
          </w:tcPr>
          <w:p w14:paraId="0237480E" w14:textId="77777777" w:rsidR="00B60118" w:rsidRDefault="00B60118">
            <w:pPr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1DD3F7A3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6.365.803,03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67CFE4AF" w14:textId="2A9B0EB9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19.76</w:t>
            </w:r>
            <w:r w:rsidR="00DF31C3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  <w:r w:rsidR="00DF31C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2D84EE75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6.816.971,93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CD305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107,09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862D2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34,49</w:t>
            </w:r>
          </w:p>
        </w:tc>
      </w:tr>
      <w:tr w:rsidR="00B60118" w14:paraId="78472ED6" w14:textId="77777777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30" w:type="dxa"/>
              <w:bottom w:w="0" w:type="dxa"/>
              <w:right w:w="15" w:type="dxa"/>
            </w:tcMar>
            <w:vAlign w:val="center"/>
            <w:hideMark/>
          </w:tcPr>
          <w:p w14:paraId="443FF6EC" w14:textId="77777777" w:rsidR="00B60118" w:rsidRDefault="00B60118">
            <w:pPr>
              <w:ind w:firstLineChars="200" w:firstLine="402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Izvor: 3 Vlastiti prihodi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64F09B6A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217.831,51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7D872FFC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980.000,00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4648C7C3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254.830,00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46F5C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116,98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10F5D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26,00</w:t>
            </w:r>
          </w:p>
        </w:tc>
      </w:tr>
      <w:tr w:rsidR="00B60118" w14:paraId="35E7ACA9" w14:textId="77777777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30" w:type="dxa"/>
              <w:bottom w:w="0" w:type="dxa"/>
              <w:right w:w="15" w:type="dxa"/>
            </w:tcMar>
            <w:vAlign w:val="center"/>
            <w:hideMark/>
          </w:tcPr>
          <w:p w14:paraId="5DDCAF97" w14:textId="77777777" w:rsidR="00B60118" w:rsidRDefault="00B60118">
            <w:pPr>
              <w:ind w:firstLineChars="200" w:firstLine="402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Izvor: 4 Prihodi za posebne namjene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76492AC4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6.147.971,52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6FFA8528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18.027.963,00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78D3355B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6.562.141,93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2DE91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106,74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139EA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36,40</w:t>
            </w:r>
          </w:p>
        </w:tc>
      </w:tr>
      <w:tr w:rsidR="00B60118" w14:paraId="6DC9A260" w14:textId="77777777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30" w:type="dxa"/>
              <w:bottom w:w="0" w:type="dxa"/>
              <w:right w:w="15" w:type="dxa"/>
            </w:tcMar>
            <w:vAlign w:val="center"/>
            <w:hideMark/>
          </w:tcPr>
          <w:p w14:paraId="13D7A364" w14:textId="77777777" w:rsidR="00B60118" w:rsidRDefault="00B60118">
            <w:pPr>
              <w:ind w:firstLineChars="200" w:firstLine="402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Izvor: 5 Pomoći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52A3FE8E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78697582" w14:textId="4421E01E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75</w:t>
            </w:r>
            <w:r w:rsidR="00DF31C3">
              <w:rPr>
                <w:rFonts w:ascii="Arial" w:hAnsi="Arial" w:cs="Arial"/>
                <w:b/>
                <w:bCs/>
                <w:sz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  <w:r w:rsidR="00DF31C3">
              <w:rPr>
                <w:rFonts w:ascii="Arial" w:hAnsi="Arial" w:cs="Arial"/>
                <w:b/>
                <w:bCs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</w:rPr>
              <w:t>37,00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00CDF9F6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AFE0C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10E97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</w:tr>
      <w:tr w:rsidR="00B60118" w14:paraId="3752D0FD" w14:textId="77777777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30" w:type="dxa"/>
              <w:bottom w:w="0" w:type="dxa"/>
              <w:right w:w="15" w:type="dxa"/>
            </w:tcMar>
            <w:vAlign w:val="center"/>
            <w:hideMark/>
          </w:tcPr>
          <w:p w14:paraId="6B672FD0" w14:textId="302BFF58" w:rsidR="00B60118" w:rsidRDefault="00B60118">
            <w:pPr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Izvor: 5</w:t>
            </w:r>
            <w:r w:rsidR="00DF31C3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F31C3">
              <w:rPr>
                <w:rFonts w:ascii="Arial" w:hAnsi="Arial" w:cs="Arial"/>
                <w:sz w:val="20"/>
              </w:rPr>
              <w:t>Pomoći EU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70A230FA" w14:textId="77777777" w:rsidR="00B60118" w:rsidRDefault="00B60118">
            <w:pPr>
              <w:ind w:firstLineChars="100" w:firstLine="20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193DCEC0" w14:textId="215AC383" w:rsidR="00B60118" w:rsidRDefault="00DF31C3">
            <w:pPr>
              <w:ind w:firstLineChars="100" w:firstLine="20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</w:t>
            </w:r>
            <w:r w:rsidR="00B60118">
              <w:rPr>
                <w:rFonts w:ascii="Arial" w:hAnsi="Arial" w:cs="Arial"/>
                <w:sz w:val="20"/>
              </w:rPr>
              <w:t>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73314CD3" w14:textId="77777777" w:rsidR="00B60118" w:rsidRDefault="00B60118">
            <w:pPr>
              <w:ind w:firstLineChars="100" w:firstLine="20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D39E1" w14:textId="77777777" w:rsidR="00B60118" w:rsidRDefault="00B6011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25710" w14:textId="77777777" w:rsidR="00B60118" w:rsidRDefault="00B6011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</w:tr>
      <w:tr w:rsidR="00B60118" w14:paraId="34CF8307" w14:textId="77777777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30" w:type="dxa"/>
              <w:bottom w:w="0" w:type="dxa"/>
              <w:right w:w="15" w:type="dxa"/>
            </w:tcMar>
            <w:vAlign w:val="center"/>
            <w:hideMark/>
          </w:tcPr>
          <w:p w14:paraId="7F283B05" w14:textId="4776EC6B" w:rsidR="00B60118" w:rsidRDefault="00DF31C3">
            <w:pPr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Izvor: 52 Ostale pomoći i darovnice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456D2919" w14:textId="77777777" w:rsidR="00B60118" w:rsidRDefault="00B60118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07CE8EB5" w14:textId="4EC3EA51" w:rsidR="00B60118" w:rsidRDefault="00DF31C3">
            <w:pPr>
              <w:ind w:firstLineChars="100" w:firstLine="20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756.637,00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1A457B71" w14:textId="77777777" w:rsidR="00B60118" w:rsidRDefault="00B60118">
            <w:pPr>
              <w:ind w:firstLineChars="100" w:firstLine="20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D4EAD" w14:textId="77777777" w:rsidR="00B60118" w:rsidRDefault="00B6011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03EA2" w14:textId="77777777" w:rsidR="00B60118" w:rsidRDefault="00B6011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</w:tr>
      <w:tr w:rsidR="00B60118" w14:paraId="63C3F187" w14:textId="77777777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30" w:type="dxa"/>
              <w:bottom w:w="0" w:type="dxa"/>
              <w:right w:w="15" w:type="dxa"/>
            </w:tcMar>
            <w:vAlign w:val="center"/>
            <w:hideMark/>
          </w:tcPr>
          <w:p w14:paraId="17E26389" w14:textId="77777777" w:rsidR="00B60118" w:rsidRDefault="00B60118">
            <w:pPr>
              <w:ind w:firstLineChars="200" w:firstLine="402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Izvor: 6 Donacije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631136E4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2673A48B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3D7C288F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CDB67" w14:textId="77777777" w:rsidR="00B60118" w:rsidRDefault="00B6011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9D602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</w:tr>
      <w:tr w:rsidR="00B60118" w14:paraId="44E436BC" w14:textId="77777777">
        <w:trPr>
          <w:trHeight w:val="501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tcMar>
              <w:top w:w="15" w:type="dxa"/>
              <w:left w:w="315" w:type="dxa"/>
              <w:bottom w:w="0" w:type="dxa"/>
              <w:right w:w="15" w:type="dxa"/>
            </w:tcMar>
            <w:vAlign w:val="center"/>
            <w:hideMark/>
          </w:tcPr>
          <w:p w14:paraId="6F15A9F9" w14:textId="77777777" w:rsidR="00B60118" w:rsidRDefault="00B60118">
            <w:pPr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 RASHODI ZA NABAVU NEFINANCIJSKE IMOVINE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2D269ECF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978.071,34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3DA72DA9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3.015.000,00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518F8AA7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1.363.895,37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715D8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139,45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DA589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45,24</w:t>
            </w:r>
          </w:p>
        </w:tc>
      </w:tr>
      <w:tr w:rsidR="00B60118" w14:paraId="25324F43" w14:textId="77777777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30" w:type="dxa"/>
              <w:bottom w:w="0" w:type="dxa"/>
              <w:right w:w="15" w:type="dxa"/>
            </w:tcMar>
            <w:vAlign w:val="center"/>
            <w:hideMark/>
          </w:tcPr>
          <w:p w14:paraId="0214AC75" w14:textId="77777777" w:rsidR="00B60118" w:rsidRDefault="00B60118">
            <w:pPr>
              <w:ind w:firstLineChars="200" w:firstLine="402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Izvor: 3 Vlastiti prihodi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6E28B607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2ADC2D39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5BBFA5DE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B1E65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A0658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</w:tr>
      <w:tr w:rsidR="00B60118" w14:paraId="3AF20F51" w14:textId="77777777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30" w:type="dxa"/>
              <w:bottom w:w="0" w:type="dxa"/>
              <w:right w:w="15" w:type="dxa"/>
            </w:tcMar>
            <w:vAlign w:val="center"/>
            <w:hideMark/>
          </w:tcPr>
          <w:p w14:paraId="16178965" w14:textId="77777777" w:rsidR="00B60118" w:rsidRDefault="00B60118">
            <w:pPr>
              <w:ind w:firstLineChars="200" w:firstLine="402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Izvor: 4 Prihodi za posebne namjene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1FFEA92E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946.795,51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07AD1A1D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3.015.000,00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16CF7A31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1.363.895,37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F715C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144,05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C9BCF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45,24</w:t>
            </w:r>
          </w:p>
        </w:tc>
      </w:tr>
      <w:tr w:rsidR="00B60118" w14:paraId="5A88EF1F" w14:textId="77777777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30" w:type="dxa"/>
              <w:bottom w:w="0" w:type="dxa"/>
              <w:right w:w="15" w:type="dxa"/>
            </w:tcMar>
            <w:vAlign w:val="center"/>
            <w:hideMark/>
          </w:tcPr>
          <w:p w14:paraId="73427C53" w14:textId="77777777" w:rsidR="00B60118" w:rsidRDefault="00B60118">
            <w:pPr>
              <w:ind w:firstLineChars="200" w:firstLine="402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Izvor: 5 Pomoći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58A87D8D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31.275,83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52E57EBC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493BDD72" w14:textId="77777777" w:rsidR="00B60118" w:rsidRDefault="00B60118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B2E84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43818" w14:textId="77777777" w:rsidR="00B60118" w:rsidRDefault="00B6011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0,00</w:t>
            </w:r>
          </w:p>
        </w:tc>
      </w:tr>
      <w:tr w:rsidR="00B60118" w14:paraId="3D214EC4" w14:textId="77777777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30" w:type="dxa"/>
              <w:bottom w:w="0" w:type="dxa"/>
              <w:right w:w="15" w:type="dxa"/>
            </w:tcMar>
            <w:vAlign w:val="center"/>
            <w:hideMark/>
          </w:tcPr>
          <w:p w14:paraId="524A6296" w14:textId="77777777" w:rsidR="00B60118" w:rsidRDefault="00B60118">
            <w:pPr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Izvor: 52 Ostale pomoći i darovnice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0AB4E4AB" w14:textId="77777777" w:rsidR="00B60118" w:rsidRDefault="00B60118">
            <w:pPr>
              <w:ind w:firstLineChars="100" w:firstLine="20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58B5353C" w14:textId="77777777" w:rsidR="00B60118" w:rsidRDefault="00B60118">
            <w:pPr>
              <w:ind w:firstLineChars="100" w:firstLine="20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3AC812B8" w14:textId="77777777" w:rsidR="00B60118" w:rsidRDefault="00B60118">
            <w:pPr>
              <w:ind w:firstLineChars="100" w:firstLine="20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2E11B" w14:textId="77777777" w:rsidR="00B60118" w:rsidRDefault="00B6011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28E7E" w14:textId="77777777" w:rsidR="00B60118" w:rsidRDefault="00B6011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</w:tr>
      <w:tr w:rsidR="00B60118" w14:paraId="7507A734" w14:textId="77777777">
        <w:trPr>
          <w:trHeight w:val="270"/>
        </w:trPr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630" w:type="dxa"/>
              <w:bottom w:w="0" w:type="dxa"/>
              <w:right w:w="15" w:type="dxa"/>
            </w:tcMar>
            <w:vAlign w:val="center"/>
            <w:hideMark/>
          </w:tcPr>
          <w:p w14:paraId="41D78A9F" w14:textId="77777777" w:rsidR="00B60118" w:rsidRDefault="00B60118">
            <w:pPr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Izvor: 563 Fondovi EU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04EDD24D" w14:textId="77777777" w:rsidR="00B60118" w:rsidRDefault="00B60118">
            <w:pPr>
              <w:ind w:firstLineChars="100" w:firstLine="20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31.275,83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32A993F6" w14:textId="77777777" w:rsidR="00B60118" w:rsidRDefault="00B60118">
            <w:pPr>
              <w:ind w:firstLineChars="100" w:firstLine="20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315" w:type="dxa"/>
            </w:tcMar>
            <w:vAlign w:val="center"/>
            <w:hideMark/>
          </w:tcPr>
          <w:p w14:paraId="2E9E22DA" w14:textId="77777777" w:rsidR="00B60118" w:rsidRDefault="00B60118">
            <w:pPr>
              <w:ind w:firstLineChars="100" w:firstLine="20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BE0E9" w14:textId="77777777" w:rsidR="00B60118" w:rsidRDefault="00B6011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00AB5" w14:textId="77777777" w:rsidR="00B60118" w:rsidRDefault="00B6011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</w:tr>
    </w:tbl>
    <w:p w14:paraId="21A14F2C" w14:textId="77777777" w:rsidR="00B60118" w:rsidRDefault="00B60118" w:rsidP="003D4203">
      <w:pPr>
        <w:rPr>
          <w:noProof/>
          <w:sz w:val="24"/>
          <w:szCs w:val="24"/>
          <w:lang w:eastAsia="hr-HR"/>
        </w:rPr>
      </w:pPr>
      <w:r w:rsidRPr="004C0C0B">
        <w:rPr>
          <w:noProof/>
          <w:sz w:val="24"/>
          <w:szCs w:val="24"/>
          <w:lang w:eastAsia="hr-HR"/>
        </w:rPr>
        <w:t xml:space="preserve"> </w:t>
      </w:r>
    </w:p>
    <w:p w14:paraId="2CE3FC57" w14:textId="5E0576C9" w:rsidR="003D4203" w:rsidRPr="004C0C0B" w:rsidRDefault="003D4203" w:rsidP="003D4203">
      <w:pPr>
        <w:rPr>
          <w:noProof/>
          <w:sz w:val="24"/>
          <w:szCs w:val="24"/>
          <w:lang w:eastAsia="hr-HR"/>
        </w:rPr>
      </w:pPr>
      <w:r w:rsidRPr="004C0C0B">
        <w:rPr>
          <w:noProof/>
          <w:sz w:val="24"/>
          <w:szCs w:val="24"/>
          <w:lang w:eastAsia="hr-HR"/>
        </w:rPr>
        <w:lastRenderedPageBreak/>
        <w:t xml:space="preserve">Od ukupno izvršenih rashoda u iznosu od </w:t>
      </w:r>
      <w:r w:rsidR="00433BF0">
        <w:rPr>
          <w:noProof/>
          <w:sz w:val="24"/>
          <w:szCs w:val="24"/>
          <w:lang w:eastAsia="hr-HR"/>
        </w:rPr>
        <w:t>8.180.867,30 eura</w:t>
      </w:r>
      <w:r w:rsidRPr="004C0C0B">
        <w:rPr>
          <w:noProof/>
          <w:sz w:val="24"/>
          <w:szCs w:val="24"/>
          <w:lang w:eastAsia="hr-HR"/>
        </w:rPr>
        <w:t xml:space="preserve"> u 202</w:t>
      </w:r>
      <w:r w:rsidR="00433BF0">
        <w:rPr>
          <w:noProof/>
          <w:sz w:val="24"/>
          <w:szCs w:val="24"/>
          <w:lang w:eastAsia="hr-HR"/>
        </w:rPr>
        <w:t>5</w:t>
      </w:r>
      <w:r w:rsidR="004C0C0B" w:rsidRPr="004C0C0B">
        <w:rPr>
          <w:noProof/>
          <w:sz w:val="24"/>
          <w:szCs w:val="24"/>
          <w:lang w:eastAsia="hr-HR"/>
        </w:rPr>
        <w:t>. godine</w:t>
      </w:r>
      <w:r w:rsidRPr="004C0C0B">
        <w:rPr>
          <w:noProof/>
          <w:sz w:val="24"/>
          <w:szCs w:val="24"/>
          <w:lang w:eastAsia="hr-HR"/>
        </w:rPr>
        <w:t xml:space="preserve"> </w:t>
      </w:r>
      <w:r w:rsidR="00D11ECB">
        <w:rPr>
          <w:noProof/>
          <w:sz w:val="24"/>
          <w:szCs w:val="24"/>
          <w:lang w:eastAsia="hr-HR"/>
        </w:rPr>
        <w:t xml:space="preserve">najveći iznos </w:t>
      </w:r>
      <w:r w:rsidRPr="004C0C0B">
        <w:rPr>
          <w:noProof/>
          <w:sz w:val="24"/>
          <w:szCs w:val="24"/>
          <w:lang w:eastAsia="hr-HR"/>
        </w:rPr>
        <w:t xml:space="preserve">od </w:t>
      </w:r>
      <w:r w:rsidR="00433BF0">
        <w:rPr>
          <w:noProof/>
          <w:sz w:val="24"/>
          <w:szCs w:val="24"/>
          <w:lang w:eastAsia="hr-HR"/>
        </w:rPr>
        <w:t>7</w:t>
      </w:r>
      <w:r w:rsidR="00D11ECB">
        <w:rPr>
          <w:noProof/>
          <w:sz w:val="24"/>
          <w:szCs w:val="24"/>
          <w:lang w:eastAsia="hr-HR"/>
        </w:rPr>
        <w:t>.</w:t>
      </w:r>
      <w:r w:rsidR="00433BF0">
        <w:rPr>
          <w:noProof/>
          <w:sz w:val="24"/>
          <w:szCs w:val="24"/>
          <w:lang w:eastAsia="hr-HR"/>
        </w:rPr>
        <w:t>926</w:t>
      </w:r>
      <w:r w:rsidR="00D11ECB">
        <w:rPr>
          <w:noProof/>
          <w:sz w:val="24"/>
          <w:szCs w:val="24"/>
          <w:lang w:eastAsia="hr-HR"/>
        </w:rPr>
        <w:t>.</w:t>
      </w:r>
      <w:r w:rsidR="00433BF0">
        <w:rPr>
          <w:noProof/>
          <w:sz w:val="24"/>
          <w:szCs w:val="24"/>
          <w:lang w:eastAsia="hr-HR"/>
        </w:rPr>
        <w:t>037</w:t>
      </w:r>
      <w:r w:rsidR="00D11ECB">
        <w:rPr>
          <w:noProof/>
          <w:sz w:val="24"/>
          <w:szCs w:val="24"/>
          <w:lang w:eastAsia="hr-HR"/>
        </w:rPr>
        <w:t>,</w:t>
      </w:r>
      <w:r w:rsidR="00433BF0">
        <w:rPr>
          <w:noProof/>
          <w:sz w:val="24"/>
          <w:szCs w:val="24"/>
          <w:lang w:eastAsia="hr-HR"/>
        </w:rPr>
        <w:t>30</w:t>
      </w:r>
      <w:r w:rsidR="008E1A07">
        <w:rPr>
          <w:noProof/>
          <w:sz w:val="24"/>
          <w:szCs w:val="24"/>
          <w:lang w:eastAsia="hr-HR"/>
        </w:rPr>
        <w:t xml:space="preserve"> eur</w:t>
      </w:r>
      <w:r w:rsidR="00433BF0">
        <w:rPr>
          <w:noProof/>
          <w:sz w:val="24"/>
          <w:szCs w:val="24"/>
          <w:lang w:eastAsia="hr-HR"/>
        </w:rPr>
        <w:t>a</w:t>
      </w:r>
      <w:r w:rsidRPr="004C0C0B">
        <w:rPr>
          <w:noProof/>
          <w:sz w:val="24"/>
          <w:szCs w:val="24"/>
          <w:lang w:eastAsia="hr-HR"/>
        </w:rPr>
        <w:t xml:space="preserve"> financiran je iz izvora financiranja </w:t>
      </w:r>
      <w:r w:rsidR="00CB6A0B">
        <w:rPr>
          <w:noProof/>
          <w:sz w:val="24"/>
          <w:szCs w:val="24"/>
          <w:lang w:eastAsia="hr-HR"/>
        </w:rPr>
        <w:t xml:space="preserve">43 - </w:t>
      </w:r>
      <w:r w:rsidR="006B59D4" w:rsidRPr="004C0C0B">
        <w:rPr>
          <w:noProof/>
          <w:sz w:val="24"/>
          <w:szCs w:val="24"/>
          <w:lang w:eastAsia="hr-HR"/>
        </w:rPr>
        <w:t xml:space="preserve">Prihodi za posebne </w:t>
      </w:r>
      <w:r w:rsidR="006B59D4" w:rsidRPr="00720F19">
        <w:rPr>
          <w:noProof/>
          <w:sz w:val="24"/>
          <w:szCs w:val="24"/>
          <w:lang w:eastAsia="hr-HR"/>
        </w:rPr>
        <w:t>namjene</w:t>
      </w:r>
      <w:r w:rsidR="00433BF0">
        <w:rPr>
          <w:noProof/>
          <w:sz w:val="24"/>
          <w:szCs w:val="24"/>
          <w:lang w:eastAsia="hr-HR"/>
        </w:rPr>
        <w:t xml:space="preserve"> a</w:t>
      </w:r>
      <w:r w:rsidR="00FC1DB5" w:rsidRPr="00720F19">
        <w:rPr>
          <w:noProof/>
          <w:sz w:val="24"/>
          <w:szCs w:val="24"/>
          <w:lang w:eastAsia="hr-HR"/>
        </w:rPr>
        <w:t xml:space="preserve"> iznos od  2</w:t>
      </w:r>
      <w:r w:rsidR="00433BF0">
        <w:rPr>
          <w:noProof/>
          <w:sz w:val="24"/>
          <w:szCs w:val="24"/>
          <w:lang w:eastAsia="hr-HR"/>
        </w:rPr>
        <w:t>54</w:t>
      </w:r>
      <w:r w:rsidR="00FC1DB5" w:rsidRPr="00720F19">
        <w:rPr>
          <w:noProof/>
          <w:sz w:val="24"/>
          <w:szCs w:val="24"/>
          <w:lang w:eastAsia="hr-HR"/>
        </w:rPr>
        <w:t>.83</w:t>
      </w:r>
      <w:r w:rsidR="00433BF0">
        <w:rPr>
          <w:noProof/>
          <w:sz w:val="24"/>
          <w:szCs w:val="24"/>
          <w:lang w:eastAsia="hr-HR"/>
        </w:rPr>
        <w:t>0</w:t>
      </w:r>
      <w:r w:rsidR="00FC1DB5" w:rsidRPr="00720F19">
        <w:rPr>
          <w:noProof/>
          <w:sz w:val="24"/>
          <w:szCs w:val="24"/>
          <w:lang w:eastAsia="hr-HR"/>
        </w:rPr>
        <w:t>,</w:t>
      </w:r>
      <w:r w:rsidR="00433BF0">
        <w:rPr>
          <w:noProof/>
          <w:sz w:val="24"/>
          <w:szCs w:val="24"/>
          <w:lang w:eastAsia="hr-HR"/>
        </w:rPr>
        <w:t>00</w:t>
      </w:r>
      <w:r w:rsidR="00FC1DB5" w:rsidRPr="00720F19">
        <w:rPr>
          <w:noProof/>
          <w:sz w:val="24"/>
          <w:szCs w:val="24"/>
          <w:lang w:eastAsia="hr-HR"/>
        </w:rPr>
        <w:t xml:space="preserve"> </w:t>
      </w:r>
      <w:r w:rsidR="00433BF0">
        <w:rPr>
          <w:noProof/>
          <w:sz w:val="24"/>
          <w:szCs w:val="24"/>
          <w:lang w:eastAsia="hr-HR"/>
        </w:rPr>
        <w:t>eura</w:t>
      </w:r>
      <w:r w:rsidR="00FC1DB5" w:rsidRPr="00720F19">
        <w:rPr>
          <w:noProof/>
          <w:sz w:val="24"/>
          <w:szCs w:val="24"/>
          <w:lang w:eastAsia="hr-HR"/>
        </w:rPr>
        <w:t xml:space="preserve"> financiran</w:t>
      </w:r>
      <w:r w:rsidR="00433BF0">
        <w:rPr>
          <w:noProof/>
          <w:sz w:val="24"/>
          <w:szCs w:val="24"/>
          <w:lang w:eastAsia="hr-HR"/>
        </w:rPr>
        <w:t xml:space="preserve"> je</w:t>
      </w:r>
      <w:r w:rsidR="00FC1DB5" w:rsidRPr="00720F19">
        <w:rPr>
          <w:noProof/>
          <w:sz w:val="24"/>
          <w:szCs w:val="24"/>
          <w:lang w:eastAsia="hr-HR"/>
        </w:rPr>
        <w:t xml:space="preserve"> iz </w:t>
      </w:r>
      <w:r w:rsidR="00CB6A0B">
        <w:rPr>
          <w:noProof/>
          <w:sz w:val="24"/>
          <w:szCs w:val="24"/>
          <w:lang w:eastAsia="hr-HR"/>
        </w:rPr>
        <w:t>izvora 31 - V</w:t>
      </w:r>
      <w:r w:rsidR="00FC1DB5" w:rsidRPr="00720F19">
        <w:rPr>
          <w:noProof/>
          <w:sz w:val="24"/>
          <w:szCs w:val="24"/>
          <w:lang w:eastAsia="hr-HR"/>
        </w:rPr>
        <w:t>lastiti prihod</w:t>
      </w:r>
      <w:r w:rsidR="00CB6A0B">
        <w:rPr>
          <w:noProof/>
          <w:sz w:val="24"/>
          <w:szCs w:val="24"/>
          <w:lang w:eastAsia="hr-HR"/>
        </w:rPr>
        <w:t>i</w:t>
      </w:r>
      <w:r w:rsidR="006B59D4" w:rsidRPr="00720F19">
        <w:rPr>
          <w:noProof/>
          <w:sz w:val="24"/>
          <w:szCs w:val="24"/>
          <w:lang w:eastAsia="hr-HR"/>
        </w:rPr>
        <w:t>.</w:t>
      </w:r>
    </w:p>
    <w:p w14:paraId="41545B84" w14:textId="77777777" w:rsidR="002F143E" w:rsidRDefault="002F143E" w:rsidP="003D4203">
      <w:pPr>
        <w:rPr>
          <w:noProof/>
          <w:color w:val="FF0000"/>
          <w:sz w:val="24"/>
          <w:szCs w:val="24"/>
          <w:lang w:eastAsia="hr-HR"/>
        </w:rPr>
      </w:pPr>
    </w:p>
    <w:p w14:paraId="5C479C7C" w14:textId="77777777" w:rsidR="00CA777A" w:rsidRPr="004C0C0B" w:rsidRDefault="002F143E" w:rsidP="003D4203">
      <w:pPr>
        <w:rPr>
          <w:i/>
          <w:noProof/>
          <w:sz w:val="24"/>
          <w:szCs w:val="24"/>
          <w:lang w:eastAsia="hr-HR"/>
        </w:rPr>
      </w:pPr>
      <w:r w:rsidRPr="004C0C0B">
        <w:rPr>
          <w:i/>
          <w:noProof/>
          <w:sz w:val="24"/>
          <w:szCs w:val="24"/>
          <w:lang w:eastAsia="hr-HR"/>
        </w:rPr>
        <w:t xml:space="preserve">Tablica </w:t>
      </w:r>
      <w:r w:rsidR="008C22F3" w:rsidRPr="004C0C0B">
        <w:rPr>
          <w:i/>
          <w:noProof/>
          <w:sz w:val="24"/>
          <w:szCs w:val="24"/>
          <w:lang w:eastAsia="hr-HR"/>
        </w:rPr>
        <w:t>5</w:t>
      </w:r>
      <w:r w:rsidRPr="004C0C0B">
        <w:rPr>
          <w:i/>
          <w:noProof/>
          <w:sz w:val="24"/>
          <w:szCs w:val="24"/>
          <w:lang w:eastAsia="hr-HR"/>
        </w:rPr>
        <w:t xml:space="preserve">. </w:t>
      </w:r>
      <w:r w:rsidR="003D4203" w:rsidRPr="004C0C0B">
        <w:rPr>
          <w:i/>
          <w:noProof/>
          <w:sz w:val="24"/>
          <w:szCs w:val="24"/>
          <w:lang w:eastAsia="hr-HR"/>
        </w:rPr>
        <w:t>Rashodi prema funkcijskoj klasifikaciji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2496"/>
        <w:gridCol w:w="1699"/>
        <w:gridCol w:w="1811"/>
        <w:gridCol w:w="1699"/>
        <w:gridCol w:w="1143"/>
        <w:gridCol w:w="1032"/>
      </w:tblGrid>
      <w:tr w:rsidR="006C4C33" w:rsidRPr="006C4C33" w14:paraId="7D2FAF11" w14:textId="77777777" w:rsidTr="006C4C33">
        <w:trPr>
          <w:trHeight w:val="80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BDEF8D3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3FCA566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- 6.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E61FF82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0942D0B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- 6. 2025.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F90BA91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520FAA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INDEKS</w:t>
            </w:r>
          </w:p>
        </w:tc>
      </w:tr>
      <w:tr w:rsidR="006C4C33" w:rsidRPr="006C4C33" w14:paraId="07B0FEFF" w14:textId="77777777" w:rsidTr="006C4C33">
        <w:trPr>
          <w:trHeight w:val="270"/>
        </w:trPr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C15DD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8E56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444EB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4D6BE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F1C1A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5=4/2*100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5EC8F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16"/>
                <w:szCs w:val="16"/>
                <w:lang w:val="hr-HR" w:eastAsia="hr-HR"/>
              </w:rPr>
              <w:t>6=4/3*100</w:t>
            </w:r>
          </w:p>
        </w:tc>
      </w:tr>
      <w:tr w:rsidR="006C4C33" w:rsidRPr="006C4C33" w14:paraId="16B597E6" w14:textId="77777777" w:rsidTr="006C4C33">
        <w:trPr>
          <w:trHeight w:val="501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C333655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RASHODI PREMA FUNKCIJSKOJ KLASIFIKACIJI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3B82F79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7.343.874,37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C021192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22.780.000,00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668D4FF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8.180.867,30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EC01500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111,40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9F27D16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35,91</w:t>
            </w:r>
          </w:p>
        </w:tc>
      </w:tr>
      <w:tr w:rsidR="006C4C33" w:rsidRPr="006C4C33" w14:paraId="3FD15B93" w14:textId="77777777" w:rsidTr="006C4C33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912367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05 ZAŠTITA OKOLIŠA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07FFE3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7.343.874,37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F0564B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22.780.000,00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2B693E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8.180.867,30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3BE1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111,40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DDBD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35,91</w:t>
            </w:r>
          </w:p>
        </w:tc>
      </w:tr>
      <w:tr w:rsidR="006C4C33" w:rsidRPr="006C4C33" w14:paraId="06319984" w14:textId="77777777" w:rsidTr="006C4C33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B2EDEB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054 Zaštita bioraznolikosti i krajolika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5E3035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7.343.874,37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6C20F2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22.780.000,00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38A686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8.180.867,30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94EE0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111,40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CC4E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41,39</w:t>
            </w:r>
          </w:p>
        </w:tc>
      </w:tr>
      <w:tr w:rsidR="006C4C33" w:rsidRPr="006C4C33" w14:paraId="6C718A17" w14:textId="77777777" w:rsidTr="006C4C33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B13E0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657AE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20"/>
                <w:lang w:val="hr-HR" w:eastAsia="hr-HR"/>
              </w:rPr>
              <w:t>6.365.803,03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EB037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20"/>
                <w:lang w:val="hr-HR" w:eastAsia="hr-HR"/>
              </w:rPr>
              <w:t>19.765.000,00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AE713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20"/>
                <w:lang w:val="hr-HR" w:eastAsia="hr-HR"/>
              </w:rPr>
              <w:t>6.816.971,93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FAD7A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20"/>
                <w:lang w:val="hr-HR" w:eastAsia="hr-HR"/>
              </w:rPr>
              <w:t>107,09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F88A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sz w:val="20"/>
                <w:lang w:val="hr-HR" w:eastAsia="hr-HR"/>
              </w:rPr>
              <w:t>34,49</w:t>
            </w:r>
          </w:p>
        </w:tc>
      </w:tr>
      <w:tr w:rsidR="006C4C33" w:rsidRPr="006C4C33" w14:paraId="0E51E17E" w14:textId="77777777" w:rsidTr="006C4C33">
        <w:trPr>
          <w:trHeight w:val="584"/>
        </w:trPr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B8AE4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C3474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20"/>
                <w:lang w:val="hr-HR" w:eastAsia="hr-HR"/>
              </w:rPr>
              <w:t>978.071,34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527FE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20"/>
                <w:lang w:val="hr-HR" w:eastAsia="hr-HR"/>
              </w:rPr>
              <w:t>3.015.000,00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C4406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20"/>
                <w:lang w:val="hr-HR" w:eastAsia="hr-HR"/>
              </w:rPr>
              <w:t>1.363.895,37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A3A54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color w:val="000000"/>
                <w:sz w:val="20"/>
                <w:lang w:val="hr-HR" w:eastAsia="hr-HR"/>
              </w:rPr>
              <w:t>139,45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5912" w14:textId="77777777" w:rsidR="006C4C33" w:rsidRPr="006C4C33" w:rsidRDefault="006C4C33" w:rsidP="006C4C33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6C4C33">
              <w:rPr>
                <w:rFonts w:ascii="Arial" w:hAnsi="Arial" w:cs="Arial"/>
                <w:sz w:val="20"/>
                <w:lang w:val="hr-HR" w:eastAsia="hr-HR"/>
              </w:rPr>
              <w:t>45,24</w:t>
            </w:r>
          </w:p>
        </w:tc>
      </w:tr>
    </w:tbl>
    <w:p w14:paraId="39A24568" w14:textId="77777777" w:rsidR="004C0C0B" w:rsidRDefault="004C0C0B" w:rsidP="003D4203">
      <w:pPr>
        <w:rPr>
          <w:i/>
          <w:noProof/>
          <w:sz w:val="24"/>
          <w:szCs w:val="24"/>
          <w:lang w:eastAsia="hr-HR"/>
        </w:rPr>
      </w:pPr>
    </w:p>
    <w:p w14:paraId="214D88B7" w14:textId="76E78369" w:rsidR="003D4203" w:rsidRPr="004C0C0B" w:rsidRDefault="006B59D4" w:rsidP="003D4203">
      <w:pPr>
        <w:rPr>
          <w:noProof/>
          <w:sz w:val="24"/>
          <w:szCs w:val="24"/>
          <w:lang w:eastAsia="hr-HR"/>
        </w:rPr>
      </w:pPr>
      <w:r w:rsidRPr="004C0C0B">
        <w:rPr>
          <w:noProof/>
          <w:sz w:val="24"/>
          <w:szCs w:val="24"/>
          <w:lang w:eastAsia="hr-HR"/>
        </w:rPr>
        <w:t>Prema funkcijskoj klasifikaciji rashodi su izvršeni u kategoriji zaštite bioraznolikosti</w:t>
      </w:r>
      <w:r w:rsidR="0081414F">
        <w:rPr>
          <w:noProof/>
          <w:sz w:val="24"/>
          <w:szCs w:val="24"/>
          <w:lang w:eastAsia="hr-HR"/>
        </w:rPr>
        <w:t xml:space="preserve"> i krajolika u iznosu od </w:t>
      </w:r>
      <w:r w:rsidR="00433BF0">
        <w:rPr>
          <w:noProof/>
          <w:sz w:val="24"/>
          <w:szCs w:val="24"/>
          <w:lang w:eastAsia="hr-HR"/>
        </w:rPr>
        <w:t>8.180.867,30 eura</w:t>
      </w:r>
      <w:r w:rsidR="0081414F">
        <w:rPr>
          <w:noProof/>
          <w:sz w:val="24"/>
          <w:szCs w:val="24"/>
          <w:lang w:eastAsia="hr-HR"/>
        </w:rPr>
        <w:t xml:space="preserve">, što je </w:t>
      </w:r>
      <w:r w:rsidR="007463EB">
        <w:rPr>
          <w:noProof/>
          <w:sz w:val="24"/>
          <w:szCs w:val="24"/>
          <w:lang w:eastAsia="hr-HR"/>
        </w:rPr>
        <w:t>3</w:t>
      </w:r>
      <w:r w:rsidR="00433BF0">
        <w:rPr>
          <w:noProof/>
          <w:sz w:val="24"/>
          <w:szCs w:val="24"/>
          <w:lang w:eastAsia="hr-HR"/>
        </w:rPr>
        <w:t>5</w:t>
      </w:r>
      <w:r w:rsidR="007463EB">
        <w:rPr>
          <w:noProof/>
          <w:sz w:val="24"/>
          <w:szCs w:val="24"/>
          <w:lang w:eastAsia="hr-HR"/>
        </w:rPr>
        <w:t>,</w:t>
      </w:r>
      <w:r w:rsidR="00433BF0">
        <w:rPr>
          <w:noProof/>
          <w:sz w:val="24"/>
          <w:szCs w:val="24"/>
          <w:lang w:eastAsia="hr-HR"/>
        </w:rPr>
        <w:t>91</w:t>
      </w:r>
      <w:r w:rsidR="0081414F">
        <w:rPr>
          <w:noProof/>
          <w:sz w:val="24"/>
          <w:szCs w:val="24"/>
          <w:lang w:eastAsia="hr-HR"/>
        </w:rPr>
        <w:t xml:space="preserve">% </w:t>
      </w:r>
      <w:r w:rsidR="007463EB">
        <w:rPr>
          <w:noProof/>
          <w:sz w:val="24"/>
          <w:szCs w:val="24"/>
          <w:lang w:eastAsia="hr-HR"/>
        </w:rPr>
        <w:t xml:space="preserve">u odnosu na </w:t>
      </w:r>
      <w:r w:rsidR="00433BF0">
        <w:rPr>
          <w:noProof/>
          <w:sz w:val="24"/>
          <w:szCs w:val="24"/>
          <w:lang w:eastAsia="hr-HR"/>
        </w:rPr>
        <w:t>Financijski plan za 2025. godinu</w:t>
      </w:r>
      <w:r w:rsidR="0081414F">
        <w:rPr>
          <w:noProof/>
          <w:sz w:val="24"/>
          <w:szCs w:val="24"/>
          <w:lang w:eastAsia="hr-HR"/>
        </w:rPr>
        <w:t xml:space="preserve"> te povećanje od </w:t>
      </w:r>
      <w:r w:rsidR="007463EB">
        <w:rPr>
          <w:noProof/>
          <w:sz w:val="24"/>
          <w:szCs w:val="24"/>
          <w:lang w:eastAsia="hr-HR"/>
        </w:rPr>
        <w:t>1</w:t>
      </w:r>
      <w:r w:rsidR="00433BF0">
        <w:rPr>
          <w:noProof/>
          <w:sz w:val="24"/>
          <w:szCs w:val="24"/>
          <w:lang w:eastAsia="hr-HR"/>
        </w:rPr>
        <w:t>1</w:t>
      </w:r>
      <w:r w:rsidR="007463EB">
        <w:rPr>
          <w:noProof/>
          <w:sz w:val="24"/>
          <w:szCs w:val="24"/>
          <w:lang w:eastAsia="hr-HR"/>
        </w:rPr>
        <w:t>,</w:t>
      </w:r>
      <w:r w:rsidR="00433BF0">
        <w:rPr>
          <w:noProof/>
          <w:sz w:val="24"/>
          <w:szCs w:val="24"/>
          <w:lang w:eastAsia="hr-HR"/>
        </w:rPr>
        <w:t>40</w:t>
      </w:r>
      <w:r w:rsidR="0081414F">
        <w:rPr>
          <w:noProof/>
          <w:sz w:val="24"/>
          <w:szCs w:val="24"/>
          <w:lang w:eastAsia="hr-HR"/>
        </w:rPr>
        <w:t xml:space="preserve">% u odnosu na </w:t>
      </w:r>
      <w:r w:rsidR="007463EB">
        <w:rPr>
          <w:noProof/>
          <w:sz w:val="24"/>
          <w:szCs w:val="24"/>
          <w:lang w:eastAsia="hr-HR"/>
        </w:rPr>
        <w:t>isto izvještajno razdoblje prošle godine</w:t>
      </w:r>
      <w:r w:rsidR="0081414F">
        <w:rPr>
          <w:noProof/>
          <w:sz w:val="24"/>
          <w:szCs w:val="24"/>
          <w:lang w:eastAsia="hr-HR"/>
        </w:rPr>
        <w:t>.</w:t>
      </w:r>
    </w:p>
    <w:p w14:paraId="36829778" w14:textId="77777777" w:rsidR="00CA777A" w:rsidRDefault="00CA777A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4AF998E8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646BCC9A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1695255C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72C70619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5841D874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7119BF37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03C9A276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696A378C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2AE1D5EB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34D86CF7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6DD91C57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3D2122ED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3B45B889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7CC542D2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36A17770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6B6FD4FB" w14:textId="77777777" w:rsidR="00257106" w:rsidRDefault="00257106" w:rsidP="00DE42F1">
      <w:pPr>
        <w:jc w:val="center"/>
        <w:rPr>
          <w:b/>
          <w:noProof/>
          <w:color w:val="FF0000"/>
          <w:sz w:val="28"/>
          <w:szCs w:val="28"/>
          <w:lang w:eastAsia="hr-HR"/>
        </w:rPr>
      </w:pPr>
    </w:p>
    <w:p w14:paraId="3C4AA475" w14:textId="77777777" w:rsidR="00580362" w:rsidRPr="009A742F" w:rsidRDefault="0081414F" w:rsidP="00257106">
      <w:pPr>
        <w:jc w:val="center"/>
        <w:rPr>
          <w:b/>
          <w:noProof/>
          <w:sz w:val="24"/>
          <w:szCs w:val="24"/>
          <w:lang w:eastAsia="hr-HR"/>
        </w:rPr>
      </w:pPr>
      <w:r>
        <w:rPr>
          <w:b/>
          <w:noProof/>
          <w:sz w:val="24"/>
          <w:szCs w:val="24"/>
          <w:lang w:eastAsia="hr-HR"/>
        </w:rPr>
        <w:t>R</w:t>
      </w:r>
      <w:r w:rsidR="00325732" w:rsidRPr="009A742F">
        <w:rPr>
          <w:b/>
          <w:noProof/>
          <w:sz w:val="24"/>
          <w:szCs w:val="24"/>
          <w:lang w:eastAsia="hr-HR"/>
        </w:rPr>
        <w:t>AČUN FINANCIRANJA</w:t>
      </w:r>
    </w:p>
    <w:p w14:paraId="1693FF56" w14:textId="77777777" w:rsidR="00580362" w:rsidRPr="009A742F" w:rsidRDefault="00580362" w:rsidP="00325732">
      <w:pPr>
        <w:jc w:val="left"/>
        <w:rPr>
          <w:b/>
          <w:noProof/>
          <w:sz w:val="28"/>
          <w:szCs w:val="28"/>
          <w:lang w:eastAsia="hr-HR"/>
        </w:rPr>
      </w:pPr>
    </w:p>
    <w:p w14:paraId="46B7501F" w14:textId="681647AB" w:rsidR="00580362" w:rsidRPr="009A742F" w:rsidRDefault="00325732" w:rsidP="00325732">
      <w:pPr>
        <w:rPr>
          <w:noProof/>
          <w:sz w:val="24"/>
          <w:szCs w:val="24"/>
          <w:lang w:eastAsia="hr-HR"/>
        </w:rPr>
      </w:pPr>
      <w:r w:rsidRPr="009A742F">
        <w:rPr>
          <w:noProof/>
          <w:sz w:val="24"/>
          <w:szCs w:val="24"/>
          <w:lang w:eastAsia="hr-HR"/>
        </w:rPr>
        <w:t xml:space="preserve">U nastavku </w:t>
      </w:r>
      <w:r w:rsidR="00971306" w:rsidRPr="009A742F">
        <w:rPr>
          <w:noProof/>
          <w:sz w:val="24"/>
          <w:szCs w:val="24"/>
          <w:lang w:eastAsia="hr-HR"/>
        </w:rPr>
        <w:t xml:space="preserve">se </w:t>
      </w:r>
      <w:r w:rsidRPr="009A742F">
        <w:rPr>
          <w:noProof/>
          <w:sz w:val="24"/>
          <w:szCs w:val="24"/>
          <w:lang w:eastAsia="hr-HR"/>
        </w:rPr>
        <w:t>daje prikaz plana i izvršenja računa prihoda i rashoda i plana i izvršenja računa financiranja za 202</w:t>
      </w:r>
      <w:r w:rsidR="009C4CB5">
        <w:rPr>
          <w:noProof/>
          <w:sz w:val="24"/>
          <w:szCs w:val="24"/>
          <w:lang w:eastAsia="hr-HR"/>
        </w:rPr>
        <w:t>5</w:t>
      </w:r>
      <w:r w:rsidRPr="009A742F">
        <w:rPr>
          <w:noProof/>
          <w:sz w:val="24"/>
          <w:szCs w:val="24"/>
          <w:lang w:eastAsia="hr-HR"/>
        </w:rPr>
        <w:t>. godin</w:t>
      </w:r>
      <w:r w:rsidR="00FF0F34">
        <w:rPr>
          <w:noProof/>
          <w:sz w:val="24"/>
          <w:szCs w:val="24"/>
          <w:lang w:eastAsia="hr-HR"/>
        </w:rPr>
        <w:t>u</w:t>
      </w:r>
      <w:r w:rsidRPr="009A742F">
        <w:rPr>
          <w:noProof/>
          <w:sz w:val="24"/>
          <w:szCs w:val="24"/>
          <w:lang w:eastAsia="hr-HR"/>
        </w:rPr>
        <w:t>.</w:t>
      </w:r>
    </w:p>
    <w:p w14:paraId="018992DA" w14:textId="77777777" w:rsidR="00C76D47" w:rsidRDefault="00C76D47" w:rsidP="00325732">
      <w:pPr>
        <w:rPr>
          <w:i/>
          <w:noProof/>
          <w:sz w:val="24"/>
          <w:szCs w:val="24"/>
          <w:lang w:eastAsia="hr-HR"/>
        </w:rPr>
      </w:pPr>
    </w:p>
    <w:p w14:paraId="15D363A7" w14:textId="57EFAAA7" w:rsidR="002F143E" w:rsidRDefault="002F143E" w:rsidP="00325732">
      <w:pPr>
        <w:rPr>
          <w:i/>
          <w:noProof/>
          <w:sz w:val="24"/>
          <w:szCs w:val="24"/>
          <w:lang w:eastAsia="hr-HR"/>
        </w:rPr>
      </w:pPr>
      <w:r w:rsidRPr="009A742F">
        <w:rPr>
          <w:i/>
          <w:noProof/>
          <w:sz w:val="24"/>
          <w:szCs w:val="24"/>
          <w:lang w:eastAsia="hr-HR"/>
        </w:rPr>
        <w:t xml:space="preserve">Tablica </w:t>
      </w:r>
      <w:r w:rsidR="008C22F3" w:rsidRPr="009A742F">
        <w:rPr>
          <w:i/>
          <w:noProof/>
          <w:sz w:val="24"/>
          <w:szCs w:val="24"/>
          <w:lang w:eastAsia="hr-HR"/>
        </w:rPr>
        <w:t>6</w:t>
      </w:r>
      <w:r w:rsidRPr="009A742F">
        <w:rPr>
          <w:i/>
          <w:noProof/>
          <w:sz w:val="24"/>
          <w:szCs w:val="24"/>
          <w:lang w:eastAsia="hr-HR"/>
        </w:rPr>
        <w:t>. Račun prihoda i rashoda i Račun financiranja za 202</w:t>
      </w:r>
      <w:r w:rsidR="009C4CB5">
        <w:rPr>
          <w:i/>
          <w:noProof/>
          <w:sz w:val="24"/>
          <w:szCs w:val="24"/>
          <w:lang w:eastAsia="hr-HR"/>
        </w:rPr>
        <w:t>5</w:t>
      </w:r>
      <w:r w:rsidRPr="009A742F">
        <w:rPr>
          <w:i/>
          <w:noProof/>
          <w:sz w:val="24"/>
          <w:szCs w:val="24"/>
          <w:lang w:eastAsia="hr-HR"/>
        </w:rPr>
        <w:t>. godin</w:t>
      </w:r>
      <w:r w:rsidR="00FF0F34">
        <w:rPr>
          <w:i/>
          <w:noProof/>
          <w:sz w:val="24"/>
          <w:szCs w:val="24"/>
          <w:lang w:eastAsia="hr-HR"/>
        </w:rPr>
        <w:t>u</w:t>
      </w:r>
    </w:p>
    <w:p w14:paraId="16DE6E47" w14:textId="77777777" w:rsidR="009C4CB5" w:rsidRDefault="009C4CB5" w:rsidP="00325732">
      <w:pPr>
        <w:rPr>
          <w:i/>
          <w:noProof/>
          <w:sz w:val="24"/>
          <w:szCs w:val="24"/>
          <w:lang w:eastAsia="hr-HR"/>
        </w:rPr>
      </w:pPr>
    </w:p>
    <w:tbl>
      <w:tblPr>
        <w:tblW w:w="11883" w:type="dxa"/>
        <w:tblLook w:val="04A0" w:firstRow="1" w:lastRow="0" w:firstColumn="1" w:lastColumn="0" w:noHBand="0" w:noVBand="1"/>
      </w:tblPr>
      <w:tblGrid>
        <w:gridCol w:w="5420"/>
        <w:gridCol w:w="1699"/>
        <w:gridCol w:w="1811"/>
        <w:gridCol w:w="1810"/>
        <w:gridCol w:w="1143"/>
      </w:tblGrid>
      <w:tr w:rsidR="009C4CB5" w:rsidRPr="009C4CB5" w14:paraId="75956D88" w14:textId="77777777" w:rsidTr="009C4CB5">
        <w:trPr>
          <w:trHeight w:val="263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446D94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300" w:firstLine="6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SAŽETAK RAČUNA PRIHODA I RASHODA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2CA7CD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1F90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CB14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8A2B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9C4CB5" w:rsidRPr="009C4CB5" w14:paraId="60737990" w14:textId="77777777" w:rsidTr="009C4CB5">
        <w:trPr>
          <w:trHeight w:val="22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F96A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067C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BEFB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72C2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5292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9C4CB5" w:rsidRPr="009C4CB5" w14:paraId="2EB97AE6" w14:textId="77777777" w:rsidTr="009C4CB5">
        <w:trPr>
          <w:trHeight w:val="870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90B70F0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F8890B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- 6. 2024.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7AE4D61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2025.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DB48AD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- 6. 2025.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B7FBE6F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INDEKS</w:t>
            </w:r>
          </w:p>
        </w:tc>
      </w:tr>
      <w:tr w:rsidR="009C4CB5" w:rsidRPr="009C4CB5" w14:paraId="6AA80F5D" w14:textId="77777777" w:rsidTr="009C4CB5">
        <w:trPr>
          <w:trHeight w:val="225"/>
        </w:trPr>
        <w:tc>
          <w:tcPr>
            <w:tcW w:w="5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C837A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4CB5">
              <w:rPr>
                <w:rFonts w:ascii="Arial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A275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4CB5"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132C1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4CB5"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4DE32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4CB5">
              <w:rPr>
                <w:rFonts w:ascii="Arial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CF3F7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4CB5">
              <w:rPr>
                <w:rFonts w:ascii="Arial" w:hAnsi="Arial" w:cs="Arial"/>
                <w:sz w:val="16"/>
                <w:szCs w:val="16"/>
                <w:lang w:val="hr-HR" w:eastAsia="hr-HR"/>
              </w:rPr>
              <w:t>6=5/4*100</w:t>
            </w:r>
          </w:p>
        </w:tc>
      </w:tr>
      <w:tr w:rsidR="009C4CB5" w:rsidRPr="009C4CB5" w14:paraId="6A2538AE" w14:textId="77777777" w:rsidTr="009C4CB5">
        <w:trPr>
          <w:trHeight w:val="375"/>
        </w:trPr>
        <w:tc>
          <w:tcPr>
            <w:tcW w:w="5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24B4F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6 PRIHODI POSLOVANJA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FFE72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5.822.657,80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15912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21.866.637,00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2D28C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5.778.441,29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3F183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26,43</w:t>
            </w:r>
          </w:p>
        </w:tc>
      </w:tr>
      <w:tr w:rsidR="009C4CB5" w:rsidRPr="009C4CB5" w14:paraId="1209E171" w14:textId="77777777" w:rsidTr="009C4CB5">
        <w:trPr>
          <w:trHeight w:val="375"/>
        </w:trPr>
        <w:tc>
          <w:tcPr>
            <w:tcW w:w="5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FC626C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7 PRIHODI OD PRODAJE NEFINANCIJSKE IMOVINE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8A2B3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68239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E8C56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AB1F6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  <w:tr w:rsidR="009C4CB5" w:rsidRPr="009C4CB5" w14:paraId="682819B2" w14:textId="77777777" w:rsidTr="009C4CB5">
        <w:trPr>
          <w:trHeight w:val="375"/>
        </w:trPr>
        <w:tc>
          <w:tcPr>
            <w:tcW w:w="5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01A72EF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UKUPNI PRIHODI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1B80E38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5.822.657,80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D065A8C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21.866.637,00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7CCB5C0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5.778.441,29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3658190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26,43</w:t>
            </w:r>
          </w:p>
        </w:tc>
      </w:tr>
      <w:tr w:rsidR="009C4CB5" w:rsidRPr="009C4CB5" w14:paraId="6295A91C" w14:textId="77777777" w:rsidTr="009C4CB5">
        <w:trPr>
          <w:trHeight w:val="375"/>
        </w:trPr>
        <w:tc>
          <w:tcPr>
            <w:tcW w:w="5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EBE31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3 RASHODI POSLOVANJA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359A8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6.365.803,03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3658A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19.765.000,00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B1B00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6.816.971,93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7ADDC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34,49</w:t>
            </w:r>
          </w:p>
        </w:tc>
      </w:tr>
      <w:tr w:rsidR="009C4CB5" w:rsidRPr="009C4CB5" w14:paraId="4B4275AC" w14:textId="77777777" w:rsidTr="009C4CB5">
        <w:trPr>
          <w:trHeight w:val="375"/>
        </w:trPr>
        <w:tc>
          <w:tcPr>
            <w:tcW w:w="5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58F5C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4 RASHODI ZA NABAVU NEFINANCIJSKE IMOVINE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97D62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978.071,34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C04F3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3.015.000,00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6AAEE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1.363.895,37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83F54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45,24</w:t>
            </w:r>
          </w:p>
        </w:tc>
      </w:tr>
      <w:tr w:rsidR="009C4CB5" w:rsidRPr="009C4CB5" w14:paraId="6E70C2BE" w14:textId="77777777" w:rsidTr="009C4CB5">
        <w:trPr>
          <w:trHeight w:val="375"/>
        </w:trPr>
        <w:tc>
          <w:tcPr>
            <w:tcW w:w="5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FA92080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UKUPNI RASHODI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650A040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7.343.874,37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E20713E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22.780.000,00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3DA547FE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8.180.867,30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08C7A77B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35,91</w:t>
            </w:r>
          </w:p>
        </w:tc>
      </w:tr>
      <w:tr w:rsidR="009C4CB5" w:rsidRPr="009C4CB5" w14:paraId="137E335B" w14:textId="77777777" w:rsidTr="009C4CB5">
        <w:trPr>
          <w:trHeight w:val="375"/>
        </w:trPr>
        <w:tc>
          <w:tcPr>
            <w:tcW w:w="5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6EBE18A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RAZLIKA - VIŠAK / MANJAK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2386856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-1.521.216,57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9079929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-913.363,00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138BA5A5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-2.402.426,01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6F5E660F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263,03</w:t>
            </w:r>
          </w:p>
        </w:tc>
      </w:tr>
      <w:tr w:rsidR="009C4CB5" w:rsidRPr="009C4CB5" w14:paraId="632877D2" w14:textId="77777777" w:rsidTr="009C4CB5">
        <w:trPr>
          <w:trHeight w:val="22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4DEBB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1A05F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240D8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E5A42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9943A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9C4CB5" w:rsidRPr="009C4CB5" w14:paraId="1095243E" w14:textId="77777777" w:rsidTr="009C4CB5">
        <w:trPr>
          <w:trHeight w:val="22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98BC8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43EFE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146C1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42199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9A8FE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9C4CB5" w:rsidRPr="009C4CB5" w14:paraId="5961647C" w14:textId="77777777" w:rsidTr="009C4CB5">
        <w:trPr>
          <w:trHeight w:val="263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C1DB0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300" w:firstLine="602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SAŽETAK RAČUNA FINANCIRANJA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BC780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135D2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A753B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03E43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9C4CB5" w:rsidRPr="009C4CB5" w14:paraId="5458BB26" w14:textId="77777777" w:rsidTr="009C4CB5">
        <w:trPr>
          <w:trHeight w:val="22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8C237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F714D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A6F16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49035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D2CB5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20"/>
                <w:lang w:val="hr-HR" w:eastAsia="hr-HR"/>
              </w:rPr>
            </w:pPr>
          </w:p>
        </w:tc>
      </w:tr>
      <w:tr w:rsidR="009C4CB5" w:rsidRPr="009C4CB5" w14:paraId="4FCFAD3C" w14:textId="77777777" w:rsidTr="009C4CB5">
        <w:trPr>
          <w:trHeight w:val="870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107EC3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BROJČANA OZNAKA I NAZIV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DC01F6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1. - 6. 2023.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D4435C5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TEKUĆI PLAN     2024.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CFCD10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OSTVARENJE/ IZVRŠENJE            1. - 6. 2024.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FABA74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sz w:val="20"/>
                <w:lang w:val="hr-HR" w:eastAsia="hr-HR"/>
              </w:rPr>
              <w:t>INDEKS</w:t>
            </w:r>
          </w:p>
        </w:tc>
      </w:tr>
      <w:tr w:rsidR="009C4CB5" w:rsidRPr="009C4CB5" w14:paraId="3B751243" w14:textId="77777777" w:rsidTr="009C4CB5">
        <w:trPr>
          <w:trHeight w:val="225"/>
        </w:trPr>
        <w:tc>
          <w:tcPr>
            <w:tcW w:w="5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5C05E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4CB5">
              <w:rPr>
                <w:rFonts w:ascii="Arial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1D3BA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4CB5">
              <w:rPr>
                <w:rFonts w:ascii="Arial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470E5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4CB5"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BD15D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4CB5">
              <w:rPr>
                <w:rFonts w:ascii="Arial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BC444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9C4CB5">
              <w:rPr>
                <w:rFonts w:ascii="Arial" w:hAnsi="Arial" w:cs="Arial"/>
                <w:sz w:val="16"/>
                <w:szCs w:val="16"/>
                <w:lang w:val="hr-HR" w:eastAsia="hr-HR"/>
              </w:rPr>
              <w:t>6=5/4*100</w:t>
            </w:r>
          </w:p>
        </w:tc>
      </w:tr>
      <w:tr w:rsidR="009C4CB5" w:rsidRPr="009C4CB5" w14:paraId="50872FFE" w14:textId="77777777" w:rsidTr="009C4CB5">
        <w:trPr>
          <w:trHeight w:val="375"/>
        </w:trPr>
        <w:tc>
          <w:tcPr>
            <w:tcW w:w="5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A589B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PRIJENOS SREDSTAVA IZ PRETHODNE GODINE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5DD17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8.873.745,00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FB0B2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10.489.332,00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A6160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10.489.332,00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66902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100,00</w:t>
            </w:r>
          </w:p>
        </w:tc>
      </w:tr>
      <w:tr w:rsidR="009C4CB5" w:rsidRPr="009C4CB5" w14:paraId="5A3C50C4" w14:textId="77777777" w:rsidTr="009C4CB5">
        <w:trPr>
          <w:trHeight w:val="375"/>
        </w:trPr>
        <w:tc>
          <w:tcPr>
            <w:tcW w:w="5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8FAF0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PRIJENOS SREDSTAVA U SLJEDEĆE RAZDOBLJE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FB6F6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-7.352.528,43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AB2E3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-9.575.969,00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D9F29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-8.086.905,99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FA290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84,45</w:t>
            </w:r>
          </w:p>
        </w:tc>
      </w:tr>
      <w:tr w:rsidR="009C4CB5" w:rsidRPr="009C4CB5" w14:paraId="50F0D58F" w14:textId="77777777" w:rsidTr="009C4CB5">
        <w:trPr>
          <w:trHeight w:val="375"/>
        </w:trPr>
        <w:tc>
          <w:tcPr>
            <w:tcW w:w="5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6F362F7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NETO FINANCIRANJE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52288FEC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1.521.216,57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792623AD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913.363,00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4733A6F9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2.402.426,01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center"/>
            <w:hideMark/>
          </w:tcPr>
          <w:p w14:paraId="23997381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1"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b/>
                <w:bCs/>
                <w:color w:val="000000"/>
                <w:sz w:val="20"/>
                <w:lang w:val="hr-HR" w:eastAsia="hr-HR"/>
              </w:rPr>
              <w:t>263,03</w:t>
            </w:r>
          </w:p>
        </w:tc>
      </w:tr>
      <w:tr w:rsidR="009C4CB5" w:rsidRPr="009C4CB5" w14:paraId="2FBB44A3" w14:textId="77777777" w:rsidTr="009C4CB5">
        <w:trPr>
          <w:trHeight w:val="375"/>
        </w:trPr>
        <w:tc>
          <w:tcPr>
            <w:tcW w:w="5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DA38B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VIŠAK / MANJAK + NETO FINANCIRANJE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7E81B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04122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F6959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97DC9" w14:textId="77777777" w:rsidR="009C4CB5" w:rsidRPr="009C4CB5" w:rsidRDefault="009C4CB5" w:rsidP="009C4CB5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9C4CB5">
              <w:rPr>
                <w:rFonts w:ascii="Arial" w:hAnsi="Arial" w:cs="Arial"/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17297D6E" w14:textId="77777777" w:rsidR="00257106" w:rsidRDefault="00257106" w:rsidP="00325732">
      <w:pPr>
        <w:rPr>
          <w:noProof/>
          <w:sz w:val="24"/>
          <w:szCs w:val="24"/>
          <w:lang w:eastAsia="hr-HR"/>
        </w:rPr>
      </w:pPr>
    </w:p>
    <w:p w14:paraId="2DBD9897" w14:textId="77777777" w:rsidR="00C76D47" w:rsidRDefault="00C76D47" w:rsidP="00325732">
      <w:pPr>
        <w:rPr>
          <w:noProof/>
          <w:sz w:val="24"/>
          <w:szCs w:val="24"/>
          <w:lang w:eastAsia="hr-HR"/>
        </w:rPr>
      </w:pPr>
    </w:p>
    <w:p w14:paraId="5D939219" w14:textId="77777777" w:rsidR="00C76D47" w:rsidRDefault="00C76D47" w:rsidP="00325732">
      <w:pPr>
        <w:rPr>
          <w:noProof/>
          <w:sz w:val="24"/>
          <w:szCs w:val="24"/>
          <w:lang w:eastAsia="hr-HR"/>
        </w:rPr>
      </w:pPr>
    </w:p>
    <w:p w14:paraId="0158C099" w14:textId="77777777" w:rsidR="00C76D47" w:rsidRDefault="00C76D47" w:rsidP="00325732">
      <w:pPr>
        <w:rPr>
          <w:noProof/>
          <w:sz w:val="24"/>
          <w:szCs w:val="24"/>
          <w:lang w:eastAsia="hr-HR"/>
        </w:rPr>
      </w:pPr>
    </w:p>
    <w:p w14:paraId="44E15631" w14:textId="77777777" w:rsidR="00C76D47" w:rsidRDefault="00C76D47" w:rsidP="00325732">
      <w:pPr>
        <w:rPr>
          <w:noProof/>
          <w:sz w:val="24"/>
          <w:szCs w:val="24"/>
          <w:lang w:eastAsia="hr-HR"/>
        </w:rPr>
      </w:pPr>
    </w:p>
    <w:p w14:paraId="13B480E1" w14:textId="77777777" w:rsidR="00C76D47" w:rsidRDefault="00C76D47" w:rsidP="00325732">
      <w:pPr>
        <w:rPr>
          <w:noProof/>
          <w:sz w:val="24"/>
          <w:szCs w:val="24"/>
          <w:lang w:eastAsia="hr-HR"/>
        </w:rPr>
      </w:pPr>
    </w:p>
    <w:p w14:paraId="0EC0E5F9" w14:textId="77777777" w:rsidR="00C76D47" w:rsidRDefault="00C76D47" w:rsidP="00325732">
      <w:pPr>
        <w:rPr>
          <w:noProof/>
          <w:sz w:val="24"/>
          <w:szCs w:val="24"/>
          <w:lang w:eastAsia="hr-HR"/>
        </w:rPr>
      </w:pPr>
    </w:p>
    <w:p w14:paraId="194337B5" w14:textId="77777777" w:rsidR="00C76D47" w:rsidRDefault="00C76D47" w:rsidP="00325732">
      <w:pPr>
        <w:rPr>
          <w:noProof/>
          <w:sz w:val="24"/>
          <w:szCs w:val="24"/>
          <w:lang w:eastAsia="hr-HR"/>
        </w:rPr>
      </w:pPr>
    </w:p>
    <w:p w14:paraId="42BCE1B6" w14:textId="740D9CA6" w:rsidR="00B2284B" w:rsidRDefault="00325732" w:rsidP="00325732">
      <w:pPr>
        <w:rPr>
          <w:noProof/>
          <w:sz w:val="24"/>
          <w:szCs w:val="24"/>
          <w:lang w:eastAsia="hr-HR"/>
        </w:rPr>
      </w:pPr>
      <w:r w:rsidRPr="00262C12">
        <w:rPr>
          <w:noProof/>
          <w:sz w:val="24"/>
          <w:szCs w:val="24"/>
          <w:lang w:eastAsia="hr-HR"/>
        </w:rPr>
        <w:lastRenderedPageBreak/>
        <w:t xml:space="preserve">U </w:t>
      </w:r>
      <w:r w:rsidR="00257106">
        <w:rPr>
          <w:noProof/>
          <w:sz w:val="24"/>
          <w:szCs w:val="24"/>
          <w:lang w:eastAsia="hr-HR"/>
        </w:rPr>
        <w:t>2</w:t>
      </w:r>
      <w:r w:rsidRPr="00262C12">
        <w:rPr>
          <w:noProof/>
          <w:sz w:val="24"/>
          <w:szCs w:val="24"/>
          <w:lang w:eastAsia="hr-HR"/>
        </w:rPr>
        <w:t>02</w:t>
      </w:r>
      <w:r w:rsidR="009C4CB5">
        <w:rPr>
          <w:noProof/>
          <w:sz w:val="24"/>
          <w:szCs w:val="24"/>
          <w:lang w:eastAsia="hr-HR"/>
        </w:rPr>
        <w:t>5</w:t>
      </w:r>
      <w:r w:rsidRPr="00262C12">
        <w:rPr>
          <w:noProof/>
          <w:sz w:val="24"/>
          <w:szCs w:val="24"/>
          <w:lang w:eastAsia="hr-HR"/>
        </w:rPr>
        <w:t>. godin</w:t>
      </w:r>
      <w:r w:rsidR="00C76D47">
        <w:rPr>
          <w:noProof/>
          <w:sz w:val="24"/>
          <w:szCs w:val="24"/>
          <w:lang w:eastAsia="hr-HR"/>
        </w:rPr>
        <w:t>i</w:t>
      </w:r>
      <w:r w:rsidRPr="00262C12">
        <w:rPr>
          <w:noProof/>
          <w:sz w:val="24"/>
          <w:szCs w:val="24"/>
          <w:lang w:eastAsia="hr-HR"/>
        </w:rPr>
        <w:t xml:space="preserve"> </w:t>
      </w:r>
      <w:r w:rsidR="00262C12" w:rsidRPr="00262C12">
        <w:rPr>
          <w:noProof/>
          <w:sz w:val="24"/>
          <w:szCs w:val="24"/>
          <w:lang w:eastAsia="hr-HR"/>
        </w:rPr>
        <w:t>ukupni prihodi (</w:t>
      </w:r>
      <w:r w:rsidRPr="00262C12">
        <w:rPr>
          <w:noProof/>
          <w:sz w:val="24"/>
          <w:szCs w:val="24"/>
          <w:lang w:eastAsia="hr-HR"/>
        </w:rPr>
        <w:t xml:space="preserve">prihodi poslovanja </w:t>
      </w:r>
      <w:r w:rsidR="00262C12" w:rsidRPr="00262C12">
        <w:rPr>
          <w:noProof/>
          <w:sz w:val="24"/>
          <w:szCs w:val="24"/>
          <w:lang w:eastAsia="hr-HR"/>
        </w:rPr>
        <w:t xml:space="preserve">i prihodi od prodaje nefinancijske imovine) </w:t>
      </w:r>
      <w:r w:rsidRPr="00262C12">
        <w:rPr>
          <w:noProof/>
          <w:sz w:val="24"/>
          <w:szCs w:val="24"/>
          <w:lang w:eastAsia="hr-HR"/>
        </w:rPr>
        <w:t xml:space="preserve">ostvareni su u iznosu od </w:t>
      </w:r>
      <w:r w:rsidR="00FF0F34">
        <w:rPr>
          <w:noProof/>
          <w:sz w:val="24"/>
          <w:szCs w:val="24"/>
          <w:lang w:eastAsia="hr-HR"/>
        </w:rPr>
        <w:t>5.</w:t>
      </w:r>
      <w:r w:rsidR="009C4CB5">
        <w:rPr>
          <w:noProof/>
          <w:sz w:val="24"/>
          <w:szCs w:val="24"/>
          <w:lang w:eastAsia="hr-HR"/>
        </w:rPr>
        <w:t>778</w:t>
      </w:r>
      <w:r w:rsidR="00FF0F34">
        <w:rPr>
          <w:noProof/>
          <w:sz w:val="24"/>
          <w:szCs w:val="24"/>
          <w:lang w:eastAsia="hr-HR"/>
        </w:rPr>
        <w:t>.</w:t>
      </w:r>
      <w:r w:rsidR="009C4CB5">
        <w:rPr>
          <w:noProof/>
          <w:sz w:val="24"/>
          <w:szCs w:val="24"/>
          <w:lang w:eastAsia="hr-HR"/>
        </w:rPr>
        <w:t>441</w:t>
      </w:r>
      <w:r w:rsidR="00FF0F34">
        <w:rPr>
          <w:noProof/>
          <w:sz w:val="24"/>
          <w:szCs w:val="24"/>
          <w:lang w:eastAsia="hr-HR"/>
        </w:rPr>
        <w:t>,</w:t>
      </w:r>
      <w:r w:rsidR="009C4CB5">
        <w:rPr>
          <w:noProof/>
          <w:sz w:val="24"/>
          <w:szCs w:val="24"/>
          <w:lang w:eastAsia="hr-HR"/>
        </w:rPr>
        <w:t>29</w:t>
      </w:r>
      <w:r w:rsidR="00257106">
        <w:rPr>
          <w:noProof/>
          <w:sz w:val="24"/>
          <w:szCs w:val="24"/>
          <w:lang w:eastAsia="hr-HR"/>
        </w:rPr>
        <w:t xml:space="preserve"> eur</w:t>
      </w:r>
      <w:r w:rsidR="009C4CB5">
        <w:rPr>
          <w:noProof/>
          <w:sz w:val="24"/>
          <w:szCs w:val="24"/>
          <w:lang w:eastAsia="hr-HR"/>
        </w:rPr>
        <w:t>a</w:t>
      </w:r>
      <w:r w:rsidRPr="00262C12">
        <w:rPr>
          <w:noProof/>
          <w:sz w:val="24"/>
          <w:szCs w:val="24"/>
          <w:lang w:eastAsia="hr-HR"/>
        </w:rPr>
        <w:t xml:space="preserve">, a ukupni rashodi (rashodi poslovanja i rashodi za nabavu nefinancijske imovine) ostvareni su u iznosu od </w:t>
      </w:r>
      <w:r w:rsidR="009C4CB5">
        <w:rPr>
          <w:noProof/>
          <w:sz w:val="24"/>
          <w:szCs w:val="24"/>
          <w:lang w:eastAsia="hr-HR"/>
        </w:rPr>
        <w:t>8</w:t>
      </w:r>
      <w:r w:rsidR="00AD2344">
        <w:rPr>
          <w:noProof/>
          <w:sz w:val="24"/>
          <w:szCs w:val="24"/>
          <w:lang w:eastAsia="hr-HR"/>
        </w:rPr>
        <w:t>.</w:t>
      </w:r>
      <w:r w:rsidR="009C4CB5">
        <w:rPr>
          <w:noProof/>
          <w:sz w:val="24"/>
          <w:szCs w:val="24"/>
          <w:lang w:eastAsia="hr-HR"/>
        </w:rPr>
        <w:t>180</w:t>
      </w:r>
      <w:r w:rsidR="00AD2344">
        <w:rPr>
          <w:noProof/>
          <w:sz w:val="24"/>
          <w:szCs w:val="24"/>
          <w:lang w:eastAsia="hr-HR"/>
        </w:rPr>
        <w:t>.8</w:t>
      </w:r>
      <w:r w:rsidR="009C4CB5">
        <w:rPr>
          <w:noProof/>
          <w:sz w:val="24"/>
          <w:szCs w:val="24"/>
          <w:lang w:eastAsia="hr-HR"/>
        </w:rPr>
        <w:t>6</w:t>
      </w:r>
      <w:r w:rsidR="00AD2344">
        <w:rPr>
          <w:noProof/>
          <w:sz w:val="24"/>
          <w:szCs w:val="24"/>
          <w:lang w:eastAsia="hr-HR"/>
        </w:rPr>
        <w:t>7,3</w:t>
      </w:r>
      <w:r w:rsidR="009C4CB5">
        <w:rPr>
          <w:noProof/>
          <w:sz w:val="24"/>
          <w:szCs w:val="24"/>
          <w:lang w:eastAsia="hr-HR"/>
        </w:rPr>
        <w:t>0</w:t>
      </w:r>
      <w:r w:rsidR="00257106">
        <w:rPr>
          <w:noProof/>
          <w:sz w:val="24"/>
          <w:szCs w:val="24"/>
          <w:lang w:eastAsia="hr-HR"/>
        </w:rPr>
        <w:t xml:space="preserve"> eur</w:t>
      </w:r>
      <w:r w:rsidR="009C4CB5">
        <w:rPr>
          <w:noProof/>
          <w:sz w:val="24"/>
          <w:szCs w:val="24"/>
          <w:lang w:eastAsia="hr-HR"/>
        </w:rPr>
        <w:t>a</w:t>
      </w:r>
      <w:r w:rsidRPr="00262C12">
        <w:rPr>
          <w:noProof/>
          <w:sz w:val="24"/>
          <w:szCs w:val="24"/>
          <w:lang w:eastAsia="hr-HR"/>
        </w:rPr>
        <w:t xml:space="preserve">. Iz navedene razlike prihoda i razlika proizlazi </w:t>
      </w:r>
      <w:r w:rsidR="00AD2344">
        <w:rPr>
          <w:noProof/>
          <w:sz w:val="24"/>
          <w:szCs w:val="24"/>
          <w:lang w:eastAsia="hr-HR"/>
        </w:rPr>
        <w:t xml:space="preserve">manjak prihoda </w:t>
      </w:r>
      <w:r w:rsidRPr="00262C12">
        <w:rPr>
          <w:noProof/>
          <w:sz w:val="24"/>
          <w:szCs w:val="24"/>
          <w:lang w:eastAsia="hr-HR"/>
        </w:rPr>
        <w:t xml:space="preserve">u iznosu od </w:t>
      </w:r>
      <w:r w:rsidR="009C4CB5">
        <w:rPr>
          <w:noProof/>
          <w:sz w:val="24"/>
          <w:szCs w:val="24"/>
          <w:lang w:eastAsia="hr-HR"/>
        </w:rPr>
        <w:t>2</w:t>
      </w:r>
      <w:r w:rsidR="00EF6930">
        <w:rPr>
          <w:noProof/>
          <w:sz w:val="24"/>
          <w:szCs w:val="24"/>
          <w:lang w:eastAsia="hr-HR"/>
        </w:rPr>
        <w:t>.</w:t>
      </w:r>
      <w:r w:rsidR="009C4CB5">
        <w:rPr>
          <w:noProof/>
          <w:sz w:val="24"/>
          <w:szCs w:val="24"/>
          <w:lang w:eastAsia="hr-HR"/>
        </w:rPr>
        <w:t>402</w:t>
      </w:r>
      <w:r w:rsidR="00EF6930">
        <w:rPr>
          <w:noProof/>
          <w:sz w:val="24"/>
          <w:szCs w:val="24"/>
          <w:lang w:eastAsia="hr-HR"/>
        </w:rPr>
        <w:t>.</w:t>
      </w:r>
      <w:r w:rsidR="009C4CB5">
        <w:rPr>
          <w:noProof/>
          <w:sz w:val="24"/>
          <w:szCs w:val="24"/>
          <w:lang w:eastAsia="hr-HR"/>
        </w:rPr>
        <w:t>4</w:t>
      </w:r>
      <w:r w:rsidR="00EF6930">
        <w:rPr>
          <w:noProof/>
          <w:sz w:val="24"/>
          <w:szCs w:val="24"/>
          <w:lang w:eastAsia="hr-HR"/>
        </w:rPr>
        <w:t>26,</w:t>
      </w:r>
      <w:r w:rsidR="009C4CB5">
        <w:rPr>
          <w:noProof/>
          <w:sz w:val="24"/>
          <w:szCs w:val="24"/>
          <w:lang w:eastAsia="hr-HR"/>
        </w:rPr>
        <w:t>01</w:t>
      </w:r>
      <w:r w:rsidR="00257106">
        <w:rPr>
          <w:noProof/>
          <w:sz w:val="24"/>
          <w:szCs w:val="24"/>
          <w:lang w:eastAsia="hr-HR"/>
        </w:rPr>
        <w:t xml:space="preserve"> eur</w:t>
      </w:r>
      <w:r w:rsidR="009C4CB5">
        <w:rPr>
          <w:noProof/>
          <w:sz w:val="24"/>
          <w:szCs w:val="24"/>
          <w:lang w:eastAsia="hr-HR"/>
        </w:rPr>
        <w:t>a</w:t>
      </w:r>
      <w:r w:rsidR="00262C12" w:rsidRPr="00262C12">
        <w:rPr>
          <w:noProof/>
          <w:sz w:val="24"/>
          <w:szCs w:val="24"/>
          <w:lang w:eastAsia="hr-HR"/>
        </w:rPr>
        <w:t>.</w:t>
      </w:r>
      <w:r w:rsidR="00B2284B">
        <w:rPr>
          <w:noProof/>
          <w:sz w:val="24"/>
          <w:szCs w:val="24"/>
          <w:lang w:eastAsia="hr-HR"/>
        </w:rPr>
        <w:t xml:space="preserve"> </w:t>
      </w:r>
    </w:p>
    <w:p w14:paraId="632BDD7B" w14:textId="24E48130" w:rsidR="00325732" w:rsidRDefault="00B2284B" w:rsidP="00325732">
      <w:pPr>
        <w:rPr>
          <w:noProof/>
          <w:sz w:val="24"/>
          <w:szCs w:val="24"/>
          <w:lang w:eastAsia="hr-HR"/>
        </w:rPr>
      </w:pPr>
      <w:r w:rsidRPr="00B2284B">
        <w:rPr>
          <w:bCs/>
          <w:iCs/>
          <w:noProof/>
          <w:sz w:val="24"/>
          <w:szCs w:val="24"/>
          <w:lang w:val="hr-HR" w:eastAsia="hr-HR"/>
        </w:rPr>
        <w:t xml:space="preserve">Obzirom na sezonski karakter rada Ustanove, koja do lipnja tekuće godine ne ostvaruje dovoljne prihode za podmirivanje rashoda poslovanja, </w:t>
      </w:r>
      <w:r>
        <w:rPr>
          <w:bCs/>
          <w:iCs/>
          <w:noProof/>
          <w:sz w:val="24"/>
          <w:szCs w:val="24"/>
          <w:lang w:val="hr-HR" w:eastAsia="hr-HR"/>
        </w:rPr>
        <w:t xml:space="preserve">potrebno je u financijskom planu osigurati donose i odnose sredstava koji su </w:t>
      </w:r>
      <w:r w:rsidRPr="00B2284B">
        <w:rPr>
          <w:bCs/>
          <w:iCs/>
          <w:noProof/>
          <w:sz w:val="24"/>
          <w:szCs w:val="24"/>
          <w:lang w:val="hr-HR" w:eastAsia="hr-HR"/>
        </w:rPr>
        <w:t>neophodn</w:t>
      </w:r>
      <w:r>
        <w:rPr>
          <w:bCs/>
          <w:iCs/>
          <w:noProof/>
          <w:sz w:val="24"/>
          <w:szCs w:val="24"/>
          <w:lang w:val="hr-HR" w:eastAsia="hr-HR"/>
        </w:rPr>
        <w:t>i</w:t>
      </w:r>
      <w:r w:rsidRPr="00B2284B">
        <w:rPr>
          <w:bCs/>
          <w:iCs/>
          <w:noProof/>
          <w:sz w:val="24"/>
          <w:szCs w:val="24"/>
          <w:lang w:val="hr-HR" w:eastAsia="hr-HR"/>
        </w:rPr>
        <w:t xml:space="preserve"> Ustanovi za podmirivanje tekućih obveza </w:t>
      </w:r>
      <w:r>
        <w:rPr>
          <w:bCs/>
          <w:iCs/>
          <w:noProof/>
          <w:sz w:val="24"/>
          <w:szCs w:val="24"/>
          <w:lang w:val="hr-HR" w:eastAsia="hr-HR"/>
        </w:rPr>
        <w:t xml:space="preserve">i ostalih </w:t>
      </w:r>
      <w:r w:rsidRPr="00720F19">
        <w:rPr>
          <w:bCs/>
          <w:iCs/>
          <w:noProof/>
          <w:sz w:val="24"/>
          <w:szCs w:val="24"/>
          <w:lang w:val="hr-HR" w:eastAsia="hr-HR"/>
        </w:rPr>
        <w:t>troškova</w:t>
      </w:r>
      <w:r w:rsidR="00720F19">
        <w:rPr>
          <w:rStyle w:val="Referencakomentara"/>
        </w:rPr>
        <w:t xml:space="preserve"> </w:t>
      </w:r>
      <w:r w:rsidRPr="00B2284B">
        <w:rPr>
          <w:bCs/>
          <w:iCs/>
          <w:noProof/>
          <w:sz w:val="24"/>
          <w:szCs w:val="24"/>
          <w:lang w:val="hr-HR" w:eastAsia="hr-HR"/>
        </w:rPr>
        <w:t xml:space="preserve">te </w:t>
      </w:r>
      <w:r>
        <w:rPr>
          <w:bCs/>
          <w:iCs/>
          <w:noProof/>
          <w:sz w:val="24"/>
          <w:szCs w:val="24"/>
          <w:lang w:val="hr-HR" w:eastAsia="hr-HR"/>
        </w:rPr>
        <w:t>su</w:t>
      </w:r>
      <w:r w:rsidRPr="00B2284B">
        <w:rPr>
          <w:bCs/>
          <w:iCs/>
          <w:noProof/>
          <w:sz w:val="24"/>
          <w:szCs w:val="24"/>
          <w:lang w:val="hr-HR" w:eastAsia="hr-HR"/>
        </w:rPr>
        <w:t xml:space="preserve"> sastavni dio Financijskog plana Ustanove za 202</w:t>
      </w:r>
      <w:r w:rsidR="009C4CB5">
        <w:rPr>
          <w:bCs/>
          <w:iCs/>
          <w:noProof/>
          <w:sz w:val="24"/>
          <w:szCs w:val="24"/>
          <w:lang w:val="hr-HR" w:eastAsia="hr-HR"/>
        </w:rPr>
        <w:t>5</w:t>
      </w:r>
      <w:r w:rsidRPr="00B2284B">
        <w:rPr>
          <w:bCs/>
          <w:iCs/>
          <w:noProof/>
          <w:sz w:val="24"/>
          <w:szCs w:val="24"/>
          <w:lang w:val="hr-HR" w:eastAsia="hr-HR"/>
        </w:rPr>
        <w:t xml:space="preserve">. godinu. </w:t>
      </w:r>
      <w:r w:rsidR="00262C12" w:rsidRPr="00262C12">
        <w:rPr>
          <w:noProof/>
          <w:sz w:val="24"/>
          <w:szCs w:val="24"/>
          <w:lang w:eastAsia="hr-HR"/>
        </w:rPr>
        <w:t xml:space="preserve"> </w:t>
      </w:r>
    </w:p>
    <w:p w14:paraId="24DC93C6" w14:textId="490A038F" w:rsidR="00EF6930" w:rsidRPr="00720F19" w:rsidRDefault="00720F19" w:rsidP="00EF6930">
      <w:pPr>
        <w:rPr>
          <w:noProof/>
          <w:sz w:val="24"/>
          <w:szCs w:val="24"/>
          <w:lang w:val="hr-HR" w:eastAsia="hr-HR"/>
        </w:rPr>
      </w:pPr>
      <w:r>
        <w:rPr>
          <w:noProof/>
          <w:sz w:val="24"/>
          <w:szCs w:val="24"/>
          <w:lang w:val="hr-HR" w:eastAsia="hr-HR"/>
        </w:rPr>
        <w:t>Stanje n</w:t>
      </w:r>
      <w:r w:rsidR="00EF6930" w:rsidRPr="00EF6930">
        <w:rPr>
          <w:noProof/>
          <w:sz w:val="24"/>
          <w:szCs w:val="24"/>
          <w:lang w:val="hr-HR" w:eastAsia="hr-HR"/>
        </w:rPr>
        <w:t xml:space="preserve">ovčanih sredstava na </w:t>
      </w:r>
      <w:r w:rsidR="00EF6930">
        <w:rPr>
          <w:noProof/>
          <w:sz w:val="24"/>
          <w:szCs w:val="24"/>
          <w:lang w:val="hr-HR" w:eastAsia="hr-HR"/>
        </w:rPr>
        <w:t>dan 30.06.202</w:t>
      </w:r>
      <w:r w:rsidR="007E2C3F">
        <w:rPr>
          <w:noProof/>
          <w:sz w:val="24"/>
          <w:szCs w:val="24"/>
          <w:lang w:val="hr-HR" w:eastAsia="hr-HR"/>
        </w:rPr>
        <w:t>5</w:t>
      </w:r>
      <w:r w:rsidR="00EF6930">
        <w:rPr>
          <w:noProof/>
          <w:sz w:val="24"/>
          <w:szCs w:val="24"/>
          <w:lang w:val="hr-HR" w:eastAsia="hr-HR"/>
        </w:rPr>
        <w:t xml:space="preserve">. godine iznosi </w:t>
      </w:r>
      <w:r w:rsidR="007E2C3F">
        <w:rPr>
          <w:noProof/>
          <w:sz w:val="24"/>
          <w:szCs w:val="24"/>
          <w:lang w:val="hr-HR" w:eastAsia="hr-HR"/>
        </w:rPr>
        <w:t xml:space="preserve">14.050.007,46 </w:t>
      </w:r>
      <w:r w:rsidR="00EF6930" w:rsidRPr="00EF6930">
        <w:rPr>
          <w:noProof/>
          <w:sz w:val="24"/>
          <w:szCs w:val="24"/>
          <w:lang w:val="hr-HR" w:eastAsia="hr-HR"/>
        </w:rPr>
        <w:t>eur</w:t>
      </w:r>
      <w:r w:rsidR="007E2C3F">
        <w:rPr>
          <w:noProof/>
          <w:sz w:val="24"/>
          <w:szCs w:val="24"/>
          <w:lang w:val="hr-HR" w:eastAsia="hr-HR"/>
        </w:rPr>
        <w:t>a</w:t>
      </w:r>
      <w:r w:rsidR="00EF6930">
        <w:rPr>
          <w:noProof/>
          <w:sz w:val="24"/>
          <w:szCs w:val="24"/>
          <w:lang w:val="hr-HR" w:eastAsia="hr-HR"/>
        </w:rPr>
        <w:t>, dok je stanje novčanih sredstava na dan 30.06.202</w:t>
      </w:r>
      <w:r w:rsidR="007E2C3F">
        <w:rPr>
          <w:noProof/>
          <w:sz w:val="24"/>
          <w:szCs w:val="24"/>
          <w:lang w:val="hr-HR" w:eastAsia="hr-HR"/>
        </w:rPr>
        <w:t>4</w:t>
      </w:r>
      <w:r w:rsidR="00EF6930">
        <w:rPr>
          <w:noProof/>
          <w:sz w:val="24"/>
          <w:szCs w:val="24"/>
          <w:lang w:val="hr-HR" w:eastAsia="hr-HR"/>
        </w:rPr>
        <w:t xml:space="preserve">. godine iznosilo </w:t>
      </w:r>
      <w:r w:rsidR="00EF6930" w:rsidRPr="00EF6930">
        <w:rPr>
          <w:noProof/>
          <w:sz w:val="24"/>
          <w:szCs w:val="24"/>
          <w:lang w:val="hr-HR" w:eastAsia="hr-HR"/>
        </w:rPr>
        <w:t xml:space="preserve"> </w:t>
      </w:r>
      <w:r w:rsidR="007E2C3F">
        <w:rPr>
          <w:noProof/>
          <w:sz w:val="24"/>
          <w:szCs w:val="24"/>
          <w:lang w:val="hr-HR" w:eastAsia="hr-HR"/>
        </w:rPr>
        <w:t>13</w:t>
      </w:r>
      <w:r w:rsidR="00EF6930">
        <w:rPr>
          <w:noProof/>
          <w:sz w:val="24"/>
          <w:szCs w:val="24"/>
          <w:lang w:val="hr-HR" w:eastAsia="hr-HR"/>
        </w:rPr>
        <w:t>.</w:t>
      </w:r>
      <w:r w:rsidR="007E2C3F">
        <w:rPr>
          <w:noProof/>
          <w:sz w:val="24"/>
          <w:szCs w:val="24"/>
          <w:lang w:val="hr-HR" w:eastAsia="hr-HR"/>
        </w:rPr>
        <w:t>084</w:t>
      </w:r>
      <w:r w:rsidR="00EF6930">
        <w:rPr>
          <w:noProof/>
          <w:sz w:val="24"/>
          <w:szCs w:val="24"/>
          <w:lang w:val="hr-HR" w:eastAsia="hr-HR"/>
        </w:rPr>
        <w:t>.</w:t>
      </w:r>
      <w:r w:rsidR="007E2C3F">
        <w:rPr>
          <w:noProof/>
          <w:sz w:val="24"/>
          <w:szCs w:val="24"/>
          <w:lang w:val="hr-HR" w:eastAsia="hr-HR"/>
        </w:rPr>
        <w:t>433,23</w:t>
      </w:r>
      <w:r w:rsidR="00EF6930">
        <w:rPr>
          <w:noProof/>
          <w:sz w:val="24"/>
          <w:szCs w:val="24"/>
          <w:lang w:val="hr-HR" w:eastAsia="hr-HR"/>
        </w:rPr>
        <w:t xml:space="preserve"> eur</w:t>
      </w:r>
      <w:r w:rsidR="007E2C3F">
        <w:rPr>
          <w:noProof/>
          <w:sz w:val="24"/>
          <w:szCs w:val="24"/>
          <w:lang w:val="hr-HR" w:eastAsia="hr-HR"/>
        </w:rPr>
        <w:t>a</w:t>
      </w:r>
      <w:r w:rsidR="00EF6930">
        <w:rPr>
          <w:noProof/>
          <w:sz w:val="24"/>
          <w:szCs w:val="24"/>
          <w:lang w:val="hr-HR" w:eastAsia="hr-HR"/>
        </w:rPr>
        <w:t xml:space="preserve"> </w:t>
      </w:r>
      <w:r w:rsidR="00EF6930" w:rsidRPr="00EF6930">
        <w:rPr>
          <w:noProof/>
          <w:sz w:val="24"/>
          <w:szCs w:val="24"/>
          <w:lang w:val="hr-HR" w:eastAsia="hr-HR"/>
        </w:rPr>
        <w:t xml:space="preserve">što je povećanje od </w:t>
      </w:r>
      <w:r w:rsidR="007E2C3F">
        <w:rPr>
          <w:noProof/>
          <w:sz w:val="24"/>
          <w:szCs w:val="24"/>
          <w:lang w:val="hr-HR" w:eastAsia="hr-HR"/>
        </w:rPr>
        <w:t>7,4</w:t>
      </w:r>
      <w:r w:rsidR="00EF6930" w:rsidRPr="00EF6930">
        <w:rPr>
          <w:noProof/>
          <w:sz w:val="24"/>
          <w:szCs w:val="24"/>
          <w:lang w:val="hr-HR" w:eastAsia="hr-HR"/>
        </w:rPr>
        <w:t>% u odnosu na isto razdoblje prošle godine.</w:t>
      </w:r>
    </w:p>
    <w:p w14:paraId="3BAD25CE" w14:textId="77777777" w:rsidR="00BA40F8" w:rsidRDefault="00BA40F8" w:rsidP="00325732">
      <w:pPr>
        <w:rPr>
          <w:noProof/>
          <w:sz w:val="24"/>
          <w:szCs w:val="24"/>
          <w:lang w:eastAsia="hr-HR"/>
        </w:rPr>
      </w:pPr>
    </w:p>
    <w:p w14:paraId="7C90294C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418D442B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637CED53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4AA982D6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640D24FB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675097D5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19DDC0BD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6B37DDE3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59483564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423514C5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096AA26F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5AE64022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4E3740F3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38C399FF" w14:textId="77777777" w:rsidR="00B475B0" w:rsidRDefault="00B475B0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42F79ECF" w14:textId="77777777" w:rsidR="00B475B0" w:rsidRDefault="00B475B0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30943681" w14:textId="77777777" w:rsidR="00B475B0" w:rsidRDefault="00B475B0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40FBBB65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1450E4F1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7E6B9D75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01847C48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52A0837D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72E12820" w14:textId="77777777" w:rsidR="00C76D47" w:rsidRDefault="00C76D47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42CD5780" w14:textId="77777777" w:rsidR="0084487B" w:rsidRDefault="0084487B" w:rsidP="00DE42F1">
      <w:pPr>
        <w:jc w:val="center"/>
        <w:rPr>
          <w:b/>
          <w:noProof/>
          <w:sz w:val="28"/>
          <w:szCs w:val="28"/>
          <w:lang w:eastAsia="hr-HR"/>
        </w:rPr>
      </w:pPr>
    </w:p>
    <w:p w14:paraId="5AA29759" w14:textId="144BDE3F" w:rsidR="00DE42F1" w:rsidRPr="00C065BD" w:rsidRDefault="00DE42F1" w:rsidP="00DE42F1">
      <w:pPr>
        <w:jc w:val="center"/>
      </w:pPr>
      <w:r w:rsidRPr="00C065BD">
        <w:rPr>
          <w:b/>
          <w:noProof/>
          <w:sz w:val="28"/>
          <w:szCs w:val="28"/>
          <w:lang w:eastAsia="hr-HR"/>
        </w:rPr>
        <w:lastRenderedPageBreak/>
        <w:t xml:space="preserve">OBRAZLOŽENJE </w:t>
      </w:r>
      <w:r w:rsidR="00836C34" w:rsidRPr="00C065BD">
        <w:rPr>
          <w:b/>
          <w:noProof/>
          <w:sz w:val="28"/>
          <w:szCs w:val="28"/>
          <w:lang w:eastAsia="hr-HR"/>
        </w:rPr>
        <w:t xml:space="preserve">POSEBNOG DIJELA </w:t>
      </w:r>
      <w:r w:rsidR="00913F8E">
        <w:rPr>
          <w:b/>
          <w:noProof/>
          <w:sz w:val="28"/>
          <w:szCs w:val="28"/>
          <w:lang w:eastAsia="hr-HR"/>
        </w:rPr>
        <w:t>POLU</w:t>
      </w:r>
      <w:r w:rsidR="00257106">
        <w:rPr>
          <w:b/>
          <w:noProof/>
          <w:sz w:val="28"/>
          <w:szCs w:val="28"/>
          <w:lang w:eastAsia="hr-HR"/>
        </w:rPr>
        <w:t>GODIŠNJEG</w:t>
      </w:r>
      <w:r w:rsidR="00836C34" w:rsidRPr="00C065BD">
        <w:rPr>
          <w:b/>
          <w:noProof/>
          <w:sz w:val="28"/>
          <w:szCs w:val="28"/>
          <w:lang w:eastAsia="hr-HR"/>
        </w:rPr>
        <w:t xml:space="preserve"> IZVJEŠTAJA O IZVRŠENJU </w:t>
      </w:r>
      <w:r w:rsidRPr="00C065BD">
        <w:rPr>
          <w:b/>
          <w:noProof/>
          <w:sz w:val="28"/>
          <w:szCs w:val="28"/>
          <w:lang w:eastAsia="hr-HR"/>
        </w:rPr>
        <w:t xml:space="preserve">FINANCIJSKOG PLANA JAVNE USTANOVE »NACIONALNI PARK </w:t>
      </w:r>
      <w:r w:rsidR="00257106">
        <w:rPr>
          <w:b/>
          <w:noProof/>
          <w:sz w:val="28"/>
          <w:szCs w:val="28"/>
          <w:lang w:eastAsia="hr-HR"/>
        </w:rPr>
        <w:t>KRAK</w:t>
      </w:r>
      <w:r w:rsidRPr="00C065BD">
        <w:rPr>
          <w:b/>
          <w:noProof/>
          <w:sz w:val="28"/>
          <w:szCs w:val="28"/>
          <w:lang w:eastAsia="hr-HR"/>
        </w:rPr>
        <w:t>« ZA 202</w:t>
      </w:r>
      <w:r w:rsidR="00180B7E">
        <w:rPr>
          <w:b/>
          <w:noProof/>
          <w:sz w:val="28"/>
          <w:szCs w:val="28"/>
          <w:lang w:eastAsia="hr-HR"/>
        </w:rPr>
        <w:t>5</w:t>
      </w:r>
      <w:r w:rsidRPr="00C065BD">
        <w:rPr>
          <w:b/>
          <w:noProof/>
          <w:sz w:val="28"/>
          <w:szCs w:val="28"/>
          <w:lang w:eastAsia="hr-HR"/>
        </w:rPr>
        <w:t xml:space="preserve">. GODINU </w:t>
      </w:r>
    </w:p>
    <w:p w14:paraId="2A9526F9" w14:textId="77777777" w:rsidR="00561C16" w:rsidRPr="00C065BD" w:rsidRDefault="00561C16">
      <w:pPr>
        <w:jc w:val="left"/>
      </w:pPr>
    </w:p>
    <w:p w14:paraId="3704D8AD" w14:textId="77777777" w:rsidR="00307583" w:rsidRPr="00C065BD" w:rsidRDefault="00FC67AA" w:rsidP="0037254E">
      <w:pPr>
        <w:pStyle w:val="Naslov4"/>
      </w:pPr>
      <w:r w:rsidRPr="00C065BD">
        <w:t>A779047</w:t>
      </w:r>
      <w:r w:rsidR="00294AF4" w:rsidRPr="00C065BD">
        <w:t xml:space="preserve"> </w:t>
      </w:r>
      <w:r w:rsidRPr="00C065BD">
        <w:t>ADMINISTRACIJA I UPRAVLJANJE (</w:t>
      </w:r>
      <w:r w:rsidR="004641C8" w:rsidRPr="00C065BD">
        <w:t>IZ EVIDENCIJKIH PRIHODA</w:t>
      </w:r>
      <w:r w:rsidRPr="00C065BD">
        <w:t>)</w:t>
      </w:r>
    </w:p>
    <w:tbl>
      <w:tblPr>
        <w:tblW w:w="10320" w:type="dxa"/>
        <w:jc w:val="center"/>
        <w:tblLook w:val="04A0" w:firstRow="1" w:lastRow="0" w:firstColumn="1" w:lastColumn="0" w:noHBand="0" w:noVBand="1"/>
      </w:tblPr>
      <w:tblGrid>
        <w:gridCol w:w="2777"/>
        <w:gridCol w:w="1648"/>
        <w:gridCol w:w="1657"/>
        <w:gridCol w:w="1648"/>
        <w:gridCol w:w="1317"/>
        <w:gridCol w:w="1273"/>
      </w:tblGrid>
      <w:tr w:rsidR="00722EF1" w:rsidRPr="00163D82" w14:paraId="7C20F216" w14:textId="77777777" w:rsidTr="00722EF1">
        <w:trPr>
          <w:trHeight w:val="876"/>
          <w:jc w:val="center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4FF943DB" w14:textId="77777777" w:rsidR="00722EF1" w:rsidRPr="00852671" w:rsidRDefault="00722EF1" w:rsidP="00722E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85267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NAZIV AKTIVNOSTI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0000FF"/>
            <w:vAlign w:val="center"/>
          </w:tcPr>
          <w:p w14:paraId="28AD0EB0" w14:textId="678622E4" w:rsidR="00722EF1" w:rsidRPr="00852671" w:rsidRDefault="00722EF1" w:rsidP="00722E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85267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IZVRŠENJE 1.1. – 30 .6. 2024.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12193F85" w14:textId="63B8E38A" w:rsidR="00722EF1" w:rsidRPr="00852671" w:rsidRDefault="00722EF1" w:rsidP="00722E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85267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PLAN 2025.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6DA69307" w14:textId="3A1E6A8B" w:rsidR="00722EF1" w:rsidRPr="00852671" w:rsidRDefault="00722EF1" w:rsidP="00722E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85267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IZVRŠENJE 1.1. – 30 .6. 2025.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  <w:hideMark/>
          </w:tcPr>
          <w:p w14:paraId="2A6358D9" w14:textId="77777777" w:rsidR="00722EF1" w:rsidRPr="00852671" w:rsidRDefault="00722EF1" w:rsidP="00722E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85267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INDEKS 2024./PLAN 2024.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center"/>
          </w:tcPr>
          <w:p w14:paraId="4054467D" w14:textId="1692978D" w:rsidR="00722EF1" w:rsidRPr="00852671" w:rsidRDefault="00722EF1" w:rsidP="00722EF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</w:pPr>
            <w:r w:rsidRPr="0085267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INDEKS 202</w:t>
            </w:r>
            <w:r w:rsidR="00180B7E" w:rsidRPr="0085267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5</w:t>
            </w:r>
            <w:r w:rsidRPr="0085267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./202</w:t>
            </w:r>
            <w:r w:rsidR="00180B7E" w:rsidRPr="0085267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4</w:t>
            </w:r>
            <w:r w:rsidRPr="00852671">
              <w:rPr>
                <w:rFonts w:ascii="Arial" w:hAnsi="Arial" w:cs="Arial"/>
                <w:b/>
                <w:bCs/>
                <w:color w:val="FFFFFF"/>
                <w:sz w:val="20"/>
                <w:lang w:val="hr-HR" w:eastAsia="hr-HR"/>
              </w:rPr>
              <w:t>.</w:t>
            </w:r>
          </w:p>
        </w:tc>
      </w:tr>
      <w:tr w:rsidR="00722EF1" w:rsidRPr="00163D82" w14:paraId="3C06C52C" w14:textId="77777777" w:rsidTr="00722EF1">
        <w:trPr>
          <w:trHeight w:val="1119"/>
          <w:jc w:val="center"/>
        </w:trPr>
        <w:tc>
          <w:tcPr>
            <w:tcW w:w="2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43D8A" w14:textId="77777777" w:rsidR="00722EF1" w:rsidRPr="00163D82" w:rsidRDefault="00722EF1" w:rsidP="00722EF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olor w:val="000000"/>
                <w:sz w:val="20"/>
                <w:lang w:val="hr-HR" w:eastAsia="hr-HR"/>
              </w:rPr>
            </w:pPr>
            <w:r w:rsidRPr="00163D82">
              <w:rPr>
                <w:color w:val="000000"/>
                <w:sz w:val="20"/>
                <w:lang w:val="hr-HR" w:eastAsia="hr-HR"/>
              </w:rPr>
              <w:t>A779047 - ADMINISTRACIJA I UPRAVLJANJE (IZ EVIDENCIJSKIH PRIHODA)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9A13D" w14:textId="20BD2BB2" w:rsidR="00722EF1" w:rsidRPr="00163D82" w:rsidRDefault="00722EF1" w:rsidP="00722E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7.3</w:t>
            </w:r>
            <w:r w:rsidR="00180B7E">
              <w:rPr>
                <w:color w:val="000000"/>
                <w:sz w:val="20"/>
                <w:lang w:val="hr-HR" w:eastAsia="hr-HR"/>
              </w:rPr>
              <w:t>1</w:t>
            </w:r>
            <w:r>
              <w:rPr>
                <w:color w:val="000000"/>
                <w:sz w:val="20"/>
                <w:lang w:val="hr-HR" w:eastAsia="hr-HR"/>
              </w:rPr>
              <w:t>2.598,54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B6D4A" w14:textId="51149686" w:rsidR="00722EF1" w:rsidRPr="00163D82" w:rsidRDefault="00722EF1" w:rsidP="00722E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2</w:t>
            </w:r>
            <w:r w:rsidR="00180B7E">
              <w:rPr>
                <w:color w:val="000000"/>
                <w:sz w:val="20"/>
                <w:lang w:val="hr-HR" w:eastAsia="hr-HR"/>
              </w:rPr>
              <w:t>2</w:t>
            </w:r>
            <w:r>
              <w:rPr>
                <w:color w:val="000000"/>
                <w:sz w:val="20"/>
                <w:lang w:val="hr-HR" w:eastAsia="hr-HR"/>
              </w:rPr>
              <w:t>.780.000</w:t>
            </w:r>
            <w:r w:rsidRPr="00163D82">
              <w:rPr>
                <w:color w:val="000000"/>
                <w:sz w:val="20"/>
                <w:lang w:val="hr-HR" w:eastAsia="hr-HR"/>
              </w:rPr>
              <w:t>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C7857" w14:textId="05C86AA0" w:rsidR="00722EF1" w:rsidRPr="00163D82" w:rsidRDefault="00722EF1" w:rsidP="00722E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8.180.867,30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16DE2" w14:textId="6257EC31" w:rsidR="00722EF1" w:rsidRPr="00163D82" w:rsidRDefault="00722EF1" w:rsidP="00722E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center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35,91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014D7F" w14:textId="40F83BA1" w:rsidR="00722EF1" w:rsidRPr="00163D82" w:rsidRDefault="00722EF1" w:rsidP="00722EF1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center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11</w:t>
            </w:r>
            <w:r w:rsidR="00180B7E">
              <w:rPr>
                <w:color w:val="000000"/>
                <w:sz w:val="20"/>
                <w:lang w:val="hr-HR" w:eastAsia="hr-HR"/>
              </w:rPr>
              <w:t>1</w:t>
            </w:r>
            <w:r>
              <w:rPr>
                <w:color w:val="000000"/>
                <w:sz w:val="20"/>
                <w:lang w:val="hr-HR" w:eastAsia="hr-HR"/>
              </w:rPr>
              <w:t>,</w:t>
            </w:r>
            <w:r w:rsidR="00180B7E">
              <w:rPr>
                <w:color w:val="000000"/>
                <w:sz w:val="20"/>
                <w:lang w:val="hr-HR" w:eastAsia="hr-HR"/>
              </w:rPr>
              <w:t>87</w:t>
            </w:r>
          </w:p>
        </w:tc>
      </w:tr>
    </w:tbl>
    <w:p w14:paraId="6AC70020" w14:textId="77777777" w:rsidR="00F540A2" w:rsidRPr="00C065BD" w:rsidRDefault="00F540A2">
      <w:pPr>
        <w:pStyle w:val="Naslov8"/>
        <w:jc w:val="left"/>
      </w:pPr>
    </w:p>
    <w:p w14:paraId="6F5CAEFA" w14:textId="77777777" w:rsidR="00C065BD" w:rsidRPr="00C065BD" w:rsidRDefault="00C065BD" w:rsidP="00C065BD"/>
    <w:p w14:paraId="51B1A7A1" w14:textId="77777777" w:rsidR="00307583" w:rsidRPr="00487D2C" w:rsidRDefault="00AE1D9C">
      <w:pPr>
        <w:pStyle w:val="Naslov8"/>
        <w:jc w:val="left"/>
        <w:rPr>
          <w:sz w:val="24"/>
          <w:szCs w:val="24"/>
        </w:rPr>
      </w:pPr>
      <w:r w:rsidRPr="00487D2C">
        <w:rPr>
          <w:sz w:val="24"/>
          <w:szCs w:val="24"/>
        </w:rPr>
        <w:t>Zakonske i druge pravne osnove</w:t>
      </w:r>
      <w:r w:rsidR="00765CA7" w:rsidRPr="00487D2C">
        <w:rPr>
          <w:sz w:val="24"/>
          <w:szCs w:val="24"/>
        </w:rPr>
        <w:t>:</w:t>
      </w:r>
    </w:p>
    <w:p w14:paraId="27789A3D" w14:textId="77777777" w:rsidR="00F540A2" w:rsidRPr="00487D2C" w:rsidRDefault="00F540A2" w:rsidP="00F540A2">
      <w:pPr>
        <w:rPr>
          <w:sz w:val="24"/>
          <w:szCs w:val="24"/>
        </w:rPr>
      </w:pPr>
      <w:r w:rsidRPr="00852671">
        <w:rPr>
          <w:sz w:val="24"/>
          <w:szCs w:val="24"/>
        </w:rPr>
        <w:t>Članak 132. i 134. Zakona o zaštiti prirode (Narodne novine, broj 80/13, 15/18</w:t>
      </w:r>
      <w:r w:rsidR="00C71056" w:rsidRPr="00852671">
        <w:rPr>
          <w:sz w:val="24"/>
          <w:szCs w:val="24"/>
        </w:rPr>
        <w:t>,</w:t>
      </w:r>
      <w:r w:rsidRPr="00852671">
        <w:rPr>
          <w:sz w:val="24"/>
          <w:szCs w:val="24"/>
        </w:rPr>
        <w:t xml:space="preserve"> 14/19</w:t>
      </w:r>
      <w:r w:rsidR="00C71056" w:rsidRPr="00852671">
        <w:rPr>
          <w:sz w:val="24"/>
          <w:szCs w:val="24"/>
        </w:rPr>
        <w:t xml:space="preserve"> i 127/19</w:t>
      </w:r>
      <w:r w:rsidRPr="00852671">
        <w:rPr>
          <w:sz w:val="24"/>
          <w:szCs w:val="24"/>
        </w:rPr>
        <w:t>), članak 36. Zakona o ustanovama (Narodne novine</w:t>
      </w:r>
      <w:r w:rsidRPr="00487D2C">
        <w:rPr>
          <w:sz w:val="24"/>
          <w:szCs w:val="24"/>
        </w:rPr>
        <w:t>, broj 76/93, 29/97, 47/99</w:t>
      </w:r>
      <w:r w:rsidR="00A47F64" w:rsidRPr="00487D2C">
        <w:rPr>
          <w:sz w:val="24"/>
          <w:szCs w:val="24"/>
        </w:rPr>
        <w:t xml:space="preserve">, </w:t>
      </w:r>
      <w:r w:rsidRPr="00487D2C">
        <w:rPr>
          <w:sz w:val="24"/>
          <w:szCs w:val="24"/>
        </w:rPr>
        <w:t>35/08</w:t>
      </w:r>
      <w:r w:rsidR="00A47F64" w:rsidRPr="00487D2C">
        <w:rPr>
          <w:sz w:val="24"/>
          <w:szCs w:val="24"/>
        </w:rPr>
        <w:t xml:space="preserve"> i 127/19</w:t>
      </w:r>
      <w:r w:rsidRPr="00487D2C">
        <w:rPr>
          <w:sz w:val="24"/>
          <w:szCs w:val="24"/>
        </w:rPr>
        <w:t xml:space="preserve">), članak 9., 10. i 14. Statuta Javne ustanove »Nacionalni park </w:t>
      </w:r>
      <w:r w:rsidR="00487D2C" w:rsidRPr="00487D2C">
        <w:rPr>
          <w:sz w:val="24"/>
          <w:szCs w:val="24"/>
        </w:rPr>
        <w:t>Krka</w:t>
      </w:r>
      <w:r w:rsidRPr="00487D2C">
        <w:rPr>
          <w:sz w:val="24"/>
          <w:szCs w:val="24"/>
        </w:rPr>
        <w:t>«, članak 22. Zakona o potpomognutim područjima (Narodne novine, broj 118/18), Odluka Vlade Republike Hrvatske o visini naknade, načinu isplate kao i prihvatljivim troškovima za korištenje naknade zbog zaštićenih prirodnih područja (Narodne novine, broj 102/15),  članak 5. Pravilnika o mjerilima i načinu korištenja donacija i vlastitih prihoda nacionalni</w:t>
      </w:r>
      <w:r w:rsidR="00B74473" w:rsidRPr="00487D2C">
        <w:rPr>
          <w:sz w:val="24"/>
          <w:szCs w:val="24"/>
        </w:rPr>
        <w:t>h</w:t>
      </w:r>
      <w:r w:rsidRPr="00487D2C">
        <w:rPr>
          <w:sz w:val="24"/>
          <w:szCs w:val="24"/>
        </w:rPr>
        <w:t xml:space="preserve"> parkova i parkova</w:t>
      </w:r>
      <w:r w:rsidR="005D383B">
        <w:rPr>
          <w:sz w:val="24"/>
          <w:szCs w:val="24"/>
        </w:rPr>
        <w:t xml:space="preserve"> prirode (Narodne novine, broj 111/2022</w:t>
      </w:r>
      <w:r w:rsidRPr="00487D2C">
        <w:rPr>
          <w:sz w:val="24"/>
          <w:szCs w:val="24"/>
        </w:rPr>
        <w:t>)</w:t>
      </w:r>
      <w:r w:rsidR="005D383B">
        <w:rPr>
          <w:sz w:val="24"/>
          <w:szCs w:val="24"/>
        </w:rPr>
        <w:t>,</w:t>
      </w:r>
      <w:r w:rsidR="005D383B" w:rsidRPr="005D383B">
        <w:rPr>
          <w:color w:val="231F20"/>
          <w:shd w:val="clear" w:color="auto" w:fill="FFFFFF"/>
        </w:rPr>
        <w:t xml:space="preserve"> </w:t>
      </w:r>
      <w:r w:rsidR="005D383B" w:rsidRPr="005D383B">
        <w:rPr>
          <w:sz w:val="24"/>
          <w:szCs w:val="24"/>
        </w:rPr>
        <w:t>Pravilnik o polugodišnjem i godišnjem izvještaju o izvršenju proračuna i financijskog plana</w:t>
      </w:r>
      <w:r w:rsidR="005D383B">
        <w:rPr>
          <w:sz w:val="24"/>
          <w:szCs w:val="24"/>
        </w:rPr>
        <w:t xml:space="preserve"> (NN 85/2023)</w:t>
      </w:r>
      <w:r w:rsidRPr="00487D2C">
        <w:rPr>
          <w:sz w:val="24"/>
          <w:szCs w:val="24"/>
        </w:rPr>
        <w:t>.</w:t>
      </w:r>
    </w:p>
    <w:p w14:paraId="58C1EC54" w14:textId="77777777" w:rsidR="00F540A2" w:rsidRPr="00E73417" w:rsidRDefault="00F540A2">
      <w:pPr>
        <w:pStyle w:val="Naslov8"/>
        <w:jc w:val="left"/>
        <w:rPr>
          <w:sz w:val="24"/>
          <w:szCs w:val="24"/>
          <w:highlight w:val="yellow"/>
        </w:rPr>
      </w:pPr>
    </w:p>
    <w:p w14:paraId="22942803" w14:textId="77777777" w:rsidR="00307583" w:rsidRPr="00487D2C" w:rsidRDefault="00AE1D9C">
      <w:pPr>
        <w:pStyle w:val="Naslov8"/>
        <w:jc w:val="left"/>
        <w:rPr>
          <w:sz w:val="24"/>
          <w:szCs w:val="24"/>
        </w:rPr>
      </w:pPr>
      <w:r w:rsidRPr="00487D2C">
        <w:rPr>
          <w:sz w:val="24"/>
          <w:szCs w:val="24"/>
        </w:rPr>
        <w:t>Opis aktivnosti</w:t>
      </w:r>
      <w:r w:rsidR="00765CA7" w:rsidRPr="00487D2C">
        <w:rPr>
          <w:sz w:val="24"/>
          <w:szCs w:val="24"/>
        </w:rPr>
        <w:t>:</w:t>
      </w:r>
    </w:p>
    <w:p w14:paraId="28CFB83C" w14:textId="4AAB5AF5" w:rsidR="00487D2C" w:rsidRPr="00487D2C" w:rsidRDefault="00487D2C" w:rsidP="00487D2C">
      <w:pPr>
        <w:rPr>
          <w:sz w:val="24"/>
          <w:szCs w:val="24"/>
          <w:lang w:val="hr-HR"/>
        </w:rPr>
      </w:pPr>
      <w:r w:rsidRPr="00487D2C">
        <w:rPr>
          <w:sz w:val="24"/>
          <w:szCs w:val="24"/>
          <w:lang w:val="hr-HR"/>
        </w:rPr>
        <w:t>Ovaj program sastoji se od izvora 43 – Ostali prihodi za posebne namjene, izvora 31 – Vlastiti prihodi</w:t>
      </w:r>
      <w:r w:rsidR="00722EF1">
        <w:rPr>
          <w:sz w:val="24"/>
          <w:szCs w:val="24"/>
          <w:lang w:val="hr-HR"/>
        </w:rPr>
        <w:t>,</w:t>
      </w:r>
      <w:r w:rsidRPr="00487D2C">
        <w:rPr>
          <w:sz w:val="24"/>
          <w:szCs w:val="24"/>
          <w:lang w:val="hr-HR"/>
        </w:rPr>
        <w:t xml:space="preserve"> izvora </w:t>
      </w:r>
      <w:r w:rsidR="00722EF1">
        <w:rPr>
          <w:sz w:val="24"/>
          <w:szCs w:val="24"/>
          <w:lang w:val="hr-HR"/>
        </w:rPr>
        <w:t xml:space="preserve">51 – Pomoći EU i </w:t>
      </w:r>
      <w:r w:rsidRPr="00487D2C">
        <w:rPr>
          <w:sz w:val="24"/>
          <w:szCs w:val="24"/>
          <w:lang w:val="hr-HR"/>
        </w:rPr>
        <w:t>52 – Ostale pomoći.</w:t>
      </w:r>
    </w:p>
    <w:p w14:paraId="43DB91AA" w14:textId="0078DC8D" w:rsidR="0037254E" w:rsidRPr="00487D2C" w:rsidRDefault="00F540A2" w:rsidP="00B433DE">
      <w:pPr>
        <w:rPr>
          <w:sz w:val="24"/>
          <w:szCs w:val="24"/>
        </w:rPr>
      </w:pPr>
      <w:r w:rsidRPr="00487D2C">
        <w:rPr>
          <w:sz w:val="24"/>
          <w:szCs w:val="24"/>
        </w:rPr>
        <w:t xml:space="preserve">U okviru aktivnosti </w:t>
      </w:r>
      <w:r w:rsidR="00487D2C" w:rsidRPr="00487D2C">
        <w:rPr>
          <w:sz w:val="24"/>
          <w:szCs w:val="24"/>
        </w:rPr>
        <w:t xml:space="preserve">za izvor 31 i 43 </w:t>
      </w:r>
      <w:r w:rsidRPr="00487D2C">
        <w:rPr>
          <w:sz w:val="24"/>
          <w:szCs w:val="24"/>
        </w:rPr>
        <w:t>planiraju se sredstva za upravljanje i administraciju radi provedbe aktivnosti predviđenih Planom upravljanja. Kroz ovu aktivnost osiguravaju se sredstva za plaće djelatnika, materijalne rashode, rashode za pomoći koje se na temelju propisa prenose drugom proračunskom korisniku u nadležnosti istog proračuna i ostale rashode te rashode za nabavu nefinancijske imovine. Sredstva za provođenje aktivnosti osiguravaju se kroz vlastite i namjenske prihode, a koji se mjesečno evidentiraju u sustavu državne riznice sukladno Uputi Ministarstva financija o načinu praćenja, ostvarivanja i trošenja vlastitih i namjenskih prihoda i primitaka javnih ustanova nacionalnih parkova i parkova prirode.</w:t>
      </w:r>
    </w:p>
    <w:p w14:paraId="5970059E" w14:textId="77777777" w:rsidR="00487D2C" w:rsidRPr="00487D2C" w:rsidRDefault="00487D2C" w:rsidP="00487D2C">
      <w:pPr>
        <w:rPr>
          <w:sz w:val="24"/>
          <w:szCs w:val="24"/>
          <w:lang w:val="hr-HR"/>
        </w:rPr>
      </w:pPr>
      <w:r w:rsidRPr="00487D2C">
        <w:rPr>
          <w:sz w:val="24"/>
          <w:szCs w:val="24"/>
        </w:rPr>
        <w:t xml:space="preserve">Izvor 52 se uglavnom sastoji od projekta </w:t>
      </w:r>
      <w:r w:rsidRPr="00487D2C">
        <w:rPr>
          <w:sz w:val="24"/>
          <w:szCs w:val="24"/>
          <w:lang w:val="hr-HR"/>
        </w:rPr>
        <w:t xml:space="preserve">„LIFE CONTRA </w:t>
      </w:r>
      <w:proofErr w:type="spellStart"/>
      <w:r w:rsidRPr="00487D2C">
        <w:rPr>
          <w:sz w:val="24"/>
          <w:szCs w:val="24"/>
          <w:lang w:val="hr-HR"/>
        </w:rPr>
        <w:t>Ailanthus</w:t>
      </w:r>
      <w:proofErr w:type="spellEnd"/>
      <w:r w:rsidRPr="00487D2C">
        <w:rPr>
          <w:sz w:val="24"/>
          <w:szCs w:val="24"/>
          <w:lang w:val="hr-HR"/>
        </w:rPr>
        <w:t>“ (</w:t>
      </w:r>
      <w:proofErr w:type="spellStart"/>
      <w:r w:rsidRPr="00487D2C">
        <w:rPr>
          <w:sz w:val="24"/>
          <w:szCs w:val="24"/>
          <w:lang w:val="hr-HR"/>
        </w:rPr>
        <w:t>kojm</w:t>
      </w:r>
      <w:proofErr w:type="spellEnd"/>
      <w:r w:rsidRPr="00487D2C">
        <w:rPr>
          <w:sz w:val="24"/>
          <w:szCs w:val="24"/>
          <w:lang w:val="hr-HR"/>
        </w:rPr>
        <w:t xml:space="preserve"> je nositelj Ministarstvo gospodarstva i održivog razvoja, a partneri, uz JU NP „Krka“, Vrtlar d.o.o. i JU „Priroda </w:t>
      </w:r>
      <w:r w:rsidR="00B475B0">
        <w:rPr>
          <w:sz w:val="24"/>
          <w:szCs w:val="24"/>
          <w:lang w:val="hr-HR"/>
        </w:rPr>
        <w:t>D</w:t>
      </w:r>
      <w:r w:rsidRPr="00B475B0">
        <w:rPr>
          <w:sz w:val="24"/>
          <w:szCs w:val="24"/>
          <w:lang w:val="hr-HR"/>
        </w:rPr>
        <w:t>ubrovačko-</w:t>
      </w:r>
      <w:r w:rsidRPr="00487D2C">
        <w:rPr>
          <w:sz w:val="24"/>
          <w:szCs w:val="24"/>
          <w:lang w:val="hr-HR"/>
        </w:rPr>
        <w:t>neretvanska“).</w:t>
      </w:r>
    </w:p>
    <w:p w14:paraId="39945697" w14:textId="51B7B404" w:rsidR="00487D2C" w:rsidRPr="00487D2C" w:rsidRDefault="00487D2C" w:rsidP="00487D2C">
      <w:pPr>
        <w:rPr>
          <w:sz w:val="24"/>
          <w:szCs w:val="24"/>
          <w:lang w:val="hr-HR"/>
        </w:rPr>
      </w:pPr>
      <w:r w:rsidRPr="00487D2C">
        <w:rPr>
          <w:sz w:val="24"/>
          <w:szCs w:val="24"/>
          <w:lang w:val="hr-HR"/>
        </w:rPr>
        <w:t xml:space="preserve">Ciljevi projekta „LIFE CONTRA </w:t>
      </w:r>
      <w:proofErr w:type="spellStart"/>
      <w:r w:rsidRPr="00487D2C">
        <w:rPr>
          <w:sz w:val="24"/>
          <w:szCs w:val="24"/>
          <w:lang w:val="hr-HR"/>
        </w:rPr>
        <w:t>Ailanthus</w:t>
      </w:r>
      <w:proofErr w:type="spellEnd"/>
      <w:r w:rsidRPr="00487D2C">
        <w:rPr>
          <w:sz w:val="24"/>
          <w:szCs w:val="24"/>
          <w:lang w:val="hr-HR"/>
        </w:rPr>
        <w:t xml:space="preserve">“ su uspostavljanje kontrole </w:t>
      </w:r>
      <w:proofErr w:type="spellStart"/>
      <w:r w:rsidRPr="00487D2C">
        <w:rPr>
          <w:sz w:val="24"/>
          <w:szCs w:val="24"/>
          <w:lang w:val="hr-HR"/>
        </w:rPr>
        <w:t>pajasena</w:t>
      </w:r>
      <w:proofErr w:type="spellEnd"/>
      <w:r w:rsidRPr="00487D2C">
        <w:rPr>
          <w:sz w:val="24"/>
          <w:szCs w:val="24"/>
          <w:lang w:val="hr-HR"/>
        </w:rPr>
        <w:t xml:space="preserve"> u Natura 2000 područjima, prevencija daljnjeg unosa i širenja </w:t>
      </w:r>
      <w:proofErr w:type="spellStart"/>
      <w:r w:rsidRPr="00487D2C">
        <w:rPr>
          <w:sz w:val="24"/>
          <w:szCs w:val="24"/>
          <w:lang w:val="hr-HR"/>
        </w:rPr>
        <w:t>pajasena</w:t>
      </w:r>
      <w:proofErr w:type="spellEnd"/>
      <w:r w:rsidRPr="00487D2C">
        <w:rPr>
          <w:sz w:val="24"/>
          <w:szCs w:val="24"/>
          <w:lang w:val="hr-HR"/>
        </w:rPr>
        <w:t xml:space="preserve"> te razvoj nacionalnog protokola. Projekt će se provoditi između 2020. i 2025. godine. Ukupan predviđeni financijski okvir mu je 2.591.937 </w:t>
      </w:r>
      <w:r w:rsidR="00FD55B9">
        <w:rPr>
          <w:sz w:val="24"/>
          <w:szCs w:val="24"/>
          <w:lang w:val="hr-HR"/>
        </w:rPr>
        <w:t>eur</w:t>
      </w:r>
      <w:r w:rsidR="00A02C09">
        <w:rPr>
          <w:sz w:val="24"/>
          <w:szCs w:val="24"/>
          <w:lang w:val="hr-HR"/>
        </w:rPr>
        <w:t>a</w:t>
      </w:r>
      <w:r w:rsidRPr="00487D2C">
        <w:rPr>
          <w:sz w:val="24"/>
          <w:szCs w:val="24"/>
          <w:lang w:val="hr-HR"/>
        </w:rPr>
        <w:t xml:space="preserve"> od čega bi 1.555.161 </w:t>
      </w:r>
      <w:r w:rsidR="00FD55B9">
        <w:rPr>
          <w:sz w:val="24"/>
          <w:szCs w:val="24"/>
          <w:lang w:val="hr-HR"/>
        </w:rPr>
        <w:t>eur</w:t>
      </w:r>
      <w:r w:rsidR="00C467AE">
        <w:rPr>
          <w:sz w:val="24"/>
          <w:szCs w:val="24"/>
          <w:lang w:val="hr-HR"/>
        </w:rPr>
        <w:t>a</w:t>
      </w:r>
      <w:r w:rsidRPr="00487D2C">
        <w:rPr>
          <w:sz w:val="24"/>
          <w:szCs w:val="24"/>
          <w:lang w:val="hr-HR"/>
        </w:rPr>
        <w:t xml:space="preserve"> trebalo biti financirano od strane Europske unije, 352.145 </w:t>
      </w:r>
      <w:r w:rsidR="00FD55B9">
        <w:rPr>
          <w:sz w:val="24"/>
          <w:szCs w:val="24"/>
          <w:lang w:val="hr-HR"/>
        </w:rPr>
        <w:t>eur</w:t>
      </w:r>
      <w:r w:rsidR="00A02C09">
        <w:rPr>
          <w:sz w:val="24"/>
          <w:szCs w:val="24"/>
          <w:lang w:val="hr-HR"/>
        </w:rPr>
        <w:t>a</w:t>
      </w:r>
      <w:r w:rsidRPr="00487D2C">
        <w:rPr>
          <w:sz w:val="24"/>
          <w:szCs w:val="24"/>
          <w:lang w:val="hr-HR"/>
        </w:rPr>
        <w:t xml:space="preserve"> iz Fonda za zaštitu okoliša i energetsku učinkovitost, a 400.279 </w:t>
      </w:r>
      <w:r w:rsidR="00FD55B9">
        <w:rPr>
          <w:sz w:val="24"/>
          <w:szCs w:val="24"/>
          <w:lang w:val="hr-HR"/>
        </w:rPr>
        <w:t>eur</w:t>
      </w:r>
      <w:r w:rsidR="00A02C09">
        <w:rPr>
          <w:sz w:val="24"/>
          <w:szCs w:val="24"/>
          <w:lang w:val="hr-HR"/>
        </w:rPr>
        <w:t>a</w:t>
      </w:r>
      <w:r w:rsidRPr="00487D2C">
        <w:rPr>
          <w:sz w:val="24"/>
          <w:szCs w:val="24"/>
          <w:lang w:val="hr-HR"/>
        </w:rPr>
        <w:t xml:space="preserve"> od strane projektnih partnera. Predviđeni udio JU NP „Krka“ u ukupnom projektu bi trebao biti 896.667 </w:t>
      </w:r>
      <w:r w:rsidR="00FD55B9">
        <w:rPr>
          <w:sz w:val="24"/>
          <w:szCs w:val="24"/>
          <w:lang w:val="hr-HR"/>
        </w:rPr>
        <w:t>eur</w:t>
      </w:r>
      <w:r w:rsidR="00A02C09">
        <w:rPr>
          <w:sz w:val="24"/>
          <w:szCs w:val="24"/>
          <w:lang w:val="hr-HR"/>
        </w:rPr>
        <w:t>a</w:t>
      </w:r>
      <w:r w:rsidRPr="00487D2C">
        <w:rPr>
          <w:sz w:val="24"/>
          <w:szCs w:val="24"/>
          <w:lang w:val="hr-HR"/>
        </w:rPr>
        <w:t xml:space="preserve">, a u financiranju 222.102 </w:t>
      </w:r>
      <w:r w:rsidR="00FD55B9">
        <w:rPr>
          <w:sz w:val="24"/>
          <w:szCs w:val="24"/>
          <w:lang w:val="hr-HR"/>
        </w:rPr>
        <w:t>eur</w:t>
      </w:r>
      <w:r w:rsidR="00A02C09">
        <w:rPr>
          <w:sz w:val="24"/>
          <w:szCs w:val="24"/>
          <w:lang w:val="hr-HR"/>
        </w:rPr>
        <w:t>a</w:t>
      </w:r>
      <w:r w:rsidRPr="00487D2C">
        <w:rPr>
          <w:sz w:val="24"/>
          <w:szCs w:val="24"/>
          <w:lang w:val="hr-HR"/>
        </w:rPr>
        <w:t>.</w:t>
      </w:r>
    </w:p>
    <w:p w14:paraId="0ACAB0AE" w14:textId="77777777" w:rsidR="00535312" w:rsidRDefault="00535312" w:rsidP="00535312">
      <w:pPr>
        <w:jc w:val="left"/>
      </w:pPr>
    </w:p>
    <w:p w14:paraId="4B52B3A9" w14:textId="77777777" w:rsidR="00852671" w:rsidRDefault="00852671" w:rsidP="00535312">
      <w:pPr>
        <w:jc w:val="left"/>
      </w:pPr>
    </w:p>
    <w:p w14:paraId="5EAA85EA" w14:textId="32E80D6E" w:rsidR="00852671" w:rsidRDefault="00852671" w:rsidP="00852671">
      <w:pPr>
        <w:jc w:val="center"/>
        <w:rPr>
          <w:b/>
          <w:noProof/>
          <w:sz w:val="28"/>
          <w:szCs w:val="28"/>
          <w:lang w:eastAsia="hr-HR"/>
        </w:rPr>
      </w:pPr>
      <w:r>
        <w:rPr>
          <w:b/>
          <w:noProof/>
          <w:sz w:val="28"/>
          <w:szCs w:val="28"/>
          <w:lang w:eastAsia="hr-HR"/>
        </w:rPr>
        <w:lastRenderedPageBreak/>
        <w:t xml:space="preserve">POSEBNI IZVJEŠTAJ U POLUGODIŠNJEM IZVJEŠTAJU O IZVRŠENJU </w:t>
      </w:r>
      <w:r w:rsidRPr="008C1E1C">
        <w:rPr>
          <w:b/>
          <w:noProof/>
          <w:sz w:val="28"/>
          <w:szCs w:val="28"/>
          <w:lang w:eastAsia="hr-HR"/>
        </w:rPr>
        <w:t xml:space="preserve">FINANCIJSKOG PLANA JAVNE USTANOVE NACIONALNI PARK </w:t>
      </w:r>
      <w:r>
        <w:rPr>
          <w:b/>
          <w:noProof/>
          <w:sz w:val="28"/>
          <w:szCs w:val="28"/>
          <w:lang w:eastAsia="hr-HR"/>
        </w:rPr>
        <w:t>KRKA</w:t>
      </w:r>
      <w:r w:rsidRPr="008C1E1C">
        <w:rPr>
          <w:b/>
          <w:noProof/>
          <w:sz w:val="28"/>
          <w:szCs w:val="28"/>
          <w:lang w:eastAsia="hr-HR"/>
        </w:rPr>
        <w:t xml:space="preserve"> ZA 202</w:t>
      </w:r>
      <w:r>
        <w:rPr>
          <w:b/>
          <w:noProof/>
          <w:sz w:val="28"/>
          <w:szCs w:val="28"/>
          <w:lang w:eastAsia="hr-HR"/>
        </w:rPr>
        <w:t>5</w:t>
      </w:r>
      <w:r w:rsidRPr="008C1E1C">
        <w:rPr>
          <w:b/>
          <w:noProof/>
          <w:sz w:val="28"/>
          <w:szCs w:val="28"/>
          <w:lang w:eastAsia="hr-HR"/>
        </w:rPr>
        <w:t xml:space="preserve">. GODINU </w:t>
      </w:r>
    </w:p>
    <w:p w14:paraId="4EE03D45" w14:textId="77777777" w:rsidR="00852671" w:rsidRDefault="00852671" w:rsidP="00852671">
      <w:pPr>
        <w:jc w:val="center"/>
        <w:rPr>
          <w:b/>
          <w:noProof/>
          <w:sz w:val="28"/>
          <w:szCs w:val="28"/>
          <w:lang w:eastAsia="hr-HR"/>
        </w:rPr>
      </w:pPr>
    </w:p>
    <w:p w14:paraId="0B9B630D" w14:textId="77777777" w:rsidR="00852671" w:rsidRPr="001F4961" w:rsidRDefault="00852671" w:rsidP="00852671">
      <w:pPr>
        <w:rPr>
          <w:sz w:val="24"/>
          <w:szCs w:val="24"/>
        </w:rPr>
      </w:pPr>
      <w:r w:rsidRPr="001F4961">
        <w:rPr>
          <w:sz w:val="24"/>
          <w:szCs w:val="24"/>
        </w:rPr>
        <w:t>U tablic</w:t>
      </w:r>
      <w:r>
        <w:rPr>
          <w:sz w:val="24"/>
          <w:szCs w:val="24"/>
        </w:rPr>
        <w:t xml:space="preserve">i </w:t>
      </w:r>
      <w:r w:rsidRPr="001F4961">
        <w:rPr>
          <w:sz w:val="24"/>
          <w:szCs w:val="24"/>
        </w:rPr>
        <w:t xml:space="preserve">u nastavku vidljivo je da u </w:t>
      </w:r>
      <w:r>
        <w:rPr>
          <w:sz w:val="24"/>
          <w:szCs w:val="24"/>
        </w:rPr>
        <w:t>obračunskom razdoblju</w:t>
      </w:r>
      <w:r w:rsidRPr="001F4961">
        <w:rPr>
          <w:sz w:val="24"/>
          <w:szCs w:val="24"/>
        </w:rPr>
        <w:t xml:space="preserve"> nije bilo zaduživanja na domaćem i stranom tržištu novca i kapitala</w:t>
      </w:r>
      <w:r>
        <w:rPr>
          <w:sz w:val="24"/>
          <w:szCs w:val="24"/>
        </w:rPr>
        <w:t xml:space="preserve">. </w:t>
      </w:r>
    </w:p>
    <w:p w14:paraId="63339B2C" w14:textId="77777777" w:rsidR="00852671" w:rsidRDefault="00852671" w:rsidP="00852671"/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7656"/>
        <w:gridCol w:w="1984"/>
      </w:tblGrid>
      <w:tr w:rsidR="00852671" w:rsidRPr="00B20558" w14:paraId="4479C29E" w14:textId="77777777" w:rsidTr="00C10D26">
        <w:trPr>
          <w:trHeight w:val="750"/>
          <w:jc w:val="center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DD4E2B1" w14:textId="77777777" w:rsidR="00852671" w:rsidRPr="008F66E0" w:rsidRDefault="00852671" w:rsidP="00C10D2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sz w:val="20"/>
                <w:lang w:val="hr-HR" w:eastAsia="hr-HR"/>
              </w:rPr>
            </w:pPr>
            <w:r w:rsidRPr="008F66E0">
              <w:rPr>
                <w:color w:val="000000"/>
                <w:sz w:val="20"/>
                <w:lang w:val="hr-HR" w:eastAsia="hr-HR"/>
              </w:rPr>
              <w:t>NAZIV IZVJEŠTAJA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B0975DE" w14:textId="77777777" w:rsidR="00852671" w:rsidRPr="008F66E0" w:rsidRDefault="00852671" w:rsidP="00C10D2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sz w:val="20"/>
                <w:lang w:val="hr-HR" w:eastAsia="hr-HR"/>
              </w:rPr>
            </w:pPr>
          </w:p>
          <w:p w14:paraId="34FBB01F" w14:textId="77777777" w:rsidR="00852671" w:rsidRPr="008F66E0" w:rsidRDefault="00852671" w:rsidP="00C10D2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sz w:val="20"/>
                <w:lang w:val="hr-HR" w:eastAsia="hr-HR"/>
              </w:rPr>
            </w:pPr>
            <w:r w:rsidRPr="008F66E0">
              <w:rPr>
                <w:color w:val="000000"/>
                <w:sz w:val="20"/>
                <w:lang w:val="hr-HR" w:eastAsia="hr-HR"/>
              </w:rPr>
              <w:t>PRIMICI OD ZADUŽIVANJA U IZVJEŠTAJNOM RAZDOBLJU</w:t>
            </w:r>
          </w:p>
          <w:p w14:paraId="36A07373" w14:textId="77777777" w:rsidR="00852671" w:rsidRPr="008F66E0" w:rsidRDefault="00852671" w:rsidP="00C10D2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sz w:val="20"/>
                <w:lang w:val="hr-HR" w:eastAsia="hr-HR"/>
              </w:rPr>
            </w:pPr>
          </w:p>
        </w:tc>
      </w:tr>
      <w:tr w:rsidR="00852671" w:rsidRPr="00B20558" w14:paraId="26B34454" w14:textId="77777777" w:rsidTr="00C10D26">
        <w:trPr>
          <w:trHeight w:val="688"/>
          <w:jc w:val="center"/>
        </w:trPr>
        <w:tc>
          <w:tcPr>
            <w:tcW w:w="7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BF7F3" w14:textId="77777777" w:rsidR="00852671" w:rsidRPr="00B20558" w:rsidRDefault="00852671" w:rsidP="00C10D2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left"/>
              <w:textAlignment w:val="auto"/>
              <w:rPr>
                <w:color w:val="000000"/>
                <w:sz w:val="20"/>
                <w:lang w:val="hr-HR" w:eastAsia="hr-HR"/>
              </w:rPr>
            </w:pPr>
            <w:r w:rsidRPr="00577074">
              <w:rPr>
                <w:color w:val="000000"/>
                <w:sz w:val="20"/>
                <w:lang w:val="hr-HR" w:eastAsia="hr-HR"/>
              </w:rPr>
              <w:t>Izvještaj o zaduživanju na domaćem i inozemnom tržištu novca i kapitala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3E2DE" w14:textId="77777777" w:rsidR="00852671" w:rsidRPr="00B20558" w:rsidRDefault="00852671" w:rsidP="00C10D26">
            <w:pPr>
              <w:overflowPunct/>
              <w:autoSpaceDE/>
              <w:autoSpaceDN/>
              <w:adjustRightInd/>
              <w:spacing w:after="0"/>
              <w:ind w:firstLineChars="100" w:firstLine="200"/>
              <w:jc w:val="right"/>
              <w:textAlignment w:val="auto"/>
              <w:rPr>
                <w:color w:val="000000"/>
                <w:sz w:val="20"/>
                <w:lang w:val="hr-HR" w:eastAsia="hr-HR"/>
              </w:rPr>
            </w:pPr>
            <w:r>
              <w:rPr>
                <w:color w:val="000000"/>
                <w:sz w:val="20"/>
                <w:lang w:val="hr-HR" w:eastAsia="hr-HR"/>
              </w:rPr>
              <w:t>0,00</w:t>
            </w:r>
          </w:p>
        </w:tc>
      </w:tr>
    </w:tbl>
    <w:p w14:paraId="465110A6" w14:textId="77777777" w:rsidR="00852671" w:rsidRPr="00577074" w:rsidRDefault="00852671" w:rsidP="00852671">
      <w:pPr>
        <w:ind w:firstLine="709"/>
      </w:pPr>
    </w:p>
    <w:p w14:paraId="5FA9AB22" w14:textId="77777777" w:rsidR="00852671" w:rsidRPr="00C065BD" w:rsidRDefault="00852671" w:rsidP="00535312">
      <w:pPr>
        <w:jc w:val="left"/>
      </w:pPr>
    </w:p>
    <w:sectPr w:rsidR="00852671" w:rsidRPr="00C065BD" w:rsidSect="00AD008A">
      <w:type w:val="continuous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27CD" w14:textId="77777777" w:rsidR="006D2CB4" w:rsidRDefault="006D2CB4" w:rsidP="00F352E6">
      <w:r>
        <w:separator/>
      </w:r>
    </w:p>
  </w:endnote>
  <w:endnote w:type="continuationSeparator" w:id="0">
    <w:p w14:paraId="3C021D80" w14:textId="77777777" w:rsidR="006D2CB4" w:rsidRDefault="006D2CB4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383267"/>
      <w:docPartObj>
        <w:docPartGallery w:val="Page Numbers (Bottom of Page)"/>
        <w:docPartUnique/>
      </w:docPartObj>
    </w:sdtPr>
    <w:sdtContent>
      <w:p w14:paraId="5EC5F060" w14:textId="77777777" w:rsidR="00FC1DB5" w:rsidRDefault="00FC1DB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F8E" w:rsidRPr="00913F8E">
          <w:rPr>
            <w:noProof/>
            <w:lang w:val="hr-HR"/>
          </w:rPr>
          <w:t>1</w:t>
        </w:r>
        <w:r w:rsidR="00913F8E" w:rsidRPr="00913F8E">
          <w:rPr>
            <w:noProof/>
            <w:lang w:val="hr-HR"/>
          </w:rPr>
          <w:t>2</w:t>
        </w:r>
        <w:r>
          <w:fldChar w:fldCharType="end"/>
        </w:r>
      </w:p>
    </w:sdtContent>
  </w:sdt>
  <w:p w14:paraId="6AA38AAF" w14:textId="77777777" w:rsidR="00FC1DB5" w:rsidRPr="00D769ED" w:rsidRDefault="00FC1DB5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9683" w14:textId="77777777" w:rsidR="006D2CB4" w:rsidRDefault="006D2CB4" w:rsidP="00F352E6">
      <w:r>
        <w:separator/>
      </w:r>
    </w:p>
  </w:footnote>
  <w:footnote w:type="continuationSeparator" w:id="0">
    <w:p w14:paraId="0F5101BF" w14:textId="77777777" w:rsidR="006D2CB4" w:rsidRDefault="006D2CB4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9BE9" w14:textId="77777777" w:rsidR="00FC1DB5" w:rsidRDefault="00FC1DB5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07B78"/>
    <w:rsid w:val="00007E7A"/>
    <w:rsid w:val="000109D1"/>
    <w:rsid w:val="00013A1A"/>
    <w:rsid w:val="0002533C"/>
    <w:rsid w:val="000257A7"/>
    <w:rsid w:val="0003239C"/>
    <w:rsid w:val="000352D6"/>
    <w:rsid w:val="000520DF"/>
    <w:rsid w:val="00061322"/>
    <w:rsid w:val="000657A7"/>
    <w:rsid w:val="00067AA6"/>
    <w:rsid w:val="0007345B"/>
    <w:rsid w:val="00080F4E"/>
    <w:rsid w:val="000947CC"/>
    <w:rsid w:val="000B5042"/>
    <w:rsid w:val="000C0A6C"/>
    <w:rsid w:val="000C2B96"/>
    <w:rsid w:val="000C56A9"/>
    <w:rsid w:val="000D7C2F"/>
    <w:rsid w:val="000D7FA0"/>
    <w:rsid w:val="0010779D"/>
    <w:rsid w:val="001078CD"/>
    <w:rsid w:val="0011045A"/>
    <w:rsid w:val="00120E8F"/>
    <w:rsid w:val="00123851"/>
    <w:rsid w:val="0013155A"/>
    <w:rsid w:val="001315F8"/>
    <w:rsid w:val="001350A3"/>
    <w:rsid w:val="00141139"/>
    <w:rsid w:val="00143A16"/>
    <w:rsid w:val="00147D17"/>
    <w:rsid w:val="00163D82"/>
    <w:rsid w:val="00172ED9"/>
    <w:rsid w:val="0017490A"/>
    <w:rsid w:val="00180B7E"/>
    <w:rsid w:val="00181A98"/>
    <w:rsid w:val="00187758"/>
    <w:rsid w:val="00193C41"/>
    <w:rsid w:val="001A6C73"/>
    <w:rsid w:val="001B4CBC"/>
    <w:rsid w:val="001B55B2"/>
    <w:rsid w:val="001C41EA"/>
    <w:rsid w:val="001C6213"/>
    <w:rsid w:val="001D3CB5"/>
    <w:rsid w:val="001D7D25"/>
    <w:rsid w:val="001E36F8"/>
    <w:rsid w:val="001E5246"/>
    <w:rsid w:val="001F03F2"/>
    <w:rsid w:val="001F0C2D"/>
    <w:rsid w:val="001F4961"/>
    <w:rsid w:val="0020702E"/>
    <w:rsid w:val="0021205D"/>
    <w:rsid w:val="00227C03"/>
    <w:rsid w:val="00255CEE"/>
    <w:rsid w:val="00257106"/>
    <w:rsid w:val="00260447"/>
    <w:rsid w:val="00262C12"/>
    <w:rsid w:val="0027042C"/>
    <w:rsid w:val="00275A1E"/>
    <w:rsid w:val="002772D0"/>
    <w:rsid w:val="00283D45"/>
    <w:rsid w:val="002871AF"/>
    <w:rsid w:val="00290C39"/>
    <w:rsid w:val="00294AF4"/>
    <w:rsid w:val="002A1693"/>
    <w:rsid w:val="002A320F"/>
    <w:rsid w:val="002A39AE"/>
    <w:rsid w:val="002A74BE"/>
    <w:rsid w:val="002C61D1"/>
    <w:rsid w:val="002D00FE"/>
    <w:rsid w:val="002D021A"/>
    <w:rsid w:val="002D6D8D"/>
    <w:rsid w:val="002F143E"/>
    <w:rsid w:val="002F1FC2"/>
    <w:rsid w:val="002F2FFD"/>
    <w:rsid w:val="00301B4D"/>
    <w:rsid w:val="00302049"/>
    <w:rsid w:val="003030EC"/>
    <w:rsid w:val="00307583"/>
    <w:rsid w:val="00310706"/>
    <w:rsid w:val="00311AA1"/>
    <w:rsid w:val="0031644D"/>
    <w:rsid w:val="00325732"/>
    <w:rsid w:val="00343708"/>
    <w:rsid w:val="003504FF"/>
    <w:rsid w:val="00353400"/>
    <w:rsid w:val="00360CCC"/>
    <w:rsid w:val="00362C08"/>
    <w:rsid w:val="0037254E"/>
    <w:rsid w:val="00376A5C"/>
    <w:rsid w:val="00382225"/>
    <w:rsid w:val="00386953"/>
    <w:rsid w:val="00395EBF"/>
    <w:rsid w:val="003A3327"/>
    <w:rsid w:val="003A5AC5"/>
    <w:rsid w:val="003B123F"/>
    <w:rsid w:val="003B3802"/>
    <w:rsid w:val="003C79A6"/>
    <w:rsid w:val="003D3A89"/>
    <w:rsid w:val="003D4203"/>
    <w:rsid w:val="003D5C1E"/>
    <w:rsid w:val="003D7D2E"/>
    <w:rsid w:val="003E0685"/>
    <w:rsid w:val="003F2264"/>
    <w:rsid w:val="003F4D11"/>
    <w:rsid w:val="0040143F"/>
    <w:rsid w:val="0041094E"/>
    <w:rsid w:val="004159CE"/>
    <w:rsid w:val="004178A5"/>
    <w:rsid w:val="0042285D"/>
    <w:rsid w:val="004250E5"/>
    <w:rsid w:val="00433BF0"/>
    <w:rsid w:val="004454BD"/>
    <w:rsid w:val="00463609"/>
    <w:rsid w:val="00463B71"/>
    <w:rsid w:val="004641C8"/>
    <w:rsid w:val="00466E82"/>
    <w:rsid w:val="00480C76"/>
    <w:rsid w:val="004811B9"/>
    <w:rsid w:val="00487D2C"/>
    <w:rsid w:val="00494529"/>
    <w:rsid w:val="004B1633"/>
    <w:rsid w:val="004C01B5"/>
    <w:rsid w:val="004C0C0B"/>
    <w:rsid w:val="004C6200"/>
    <w:rsid w:val="004D25A4"/>
    <w:rsid w:val="004E2FA9"/>
    <w:rsid w:val="004F393B"/>
    <w:rsid w:val="004F624C"/>
    <w:rsid w:val="005031BA"/>
    <w:rsid w:val="00510584"/>
    <w:rsid w:val="005149D1"/>
    <w:rsid w:val="00516696"/>
    <w:rsid w:val="005223DB"/>
    <w:rsid w:val="0052289C"/>
    <w:rsid w:val="00523486"/>
    <w:rsid w:val="00524A66"/>
    <w:rsid w:val="00526A7C"/>
    <w:rsid w:val="00530833"/>
    <w:rsid w:val="00535312"/>
    <w:rsid w:val="0054337B"/>
    <w:rsid w:val="00546774"/>
    <w:rsid w:val="005468D5"/>
    <w:rsid w:val="00561C16"/>
    <w:rsid w:val="00563222"/>
    <w:rsid w:val="00565224"/>
    <w:rsid w:val="00580362"/>
    <w:rsid w:val="00582747"/>
    <w:rsid w:val="00582EC4"/>
    <w:rsid w:val="00584535"/>
    <w:rsid w:val="00585EFE"/>
    <w:rsid w:val="0059481D"/>
    <w:rsid w:val="005A4613"/>
    <w:rsid w:val="005A4B77"/>
    <w:rsid w:val="005A70C0"/>
    <w:rsid w:val="005B6ED7"/>
    <w:rsid w:val="005B7E5F"/>
    <w:rsid w:val="005C743B"/>
    <w:rsid w:val="005D383B"/>
    <w:rsid w:val="005E12E3"/>
    <w:rsid w:val="005E2D85"/>
    <w:rsid w:val="005E7ABA"/>
    <w:rsid w:val="005F2C2B"/>
    <w:rsid w:val="005F6FA1"/>
    <w:rsid w:val="00603EB2"/>
    <w:rsid w:val="00607561"/>
    <w:rsid w:val="00610AA3"/>
    <w:rsid w:val="00633683"/>
    <w:rsid w:val="00636178"/>
    <w:rsid w:val="00652BFD"/>
    <w:rsid w:val="00661A02"/>
    <w:rsid w:val="00662761"/>
    <w:rsid w:val="0067337D"/>
    <w:rsid w:val="00674346"/>
    <w:rsid w:val="00694056"/>
    <w:rsid w:val="006A5C0F"/>
    <w:rsid w:val="006A6F54"/>
    <w:rsid w:val="006B3283"/>
    <w:rsid w:val="006B5409"/>
    <w:rsid w:val="006B59D4"/>
    <w:rsid w:val="006C04EA"/>
    <w:rsid w:val="006C4C33"/>
    <w:rsid w:val="006D258E"/>
    <w:rsid w:val="006D2CB4"/>
    <w:rsid w:val="006D5A64"/>
    <w:rsid w:val="006E0917"/>
    <w:rsid w:val="006E2450"/>
    <w:rsid w:val="006F2525"/>
    <w:rsid w:val="006F2B85"/>
    <w:rsid w:val="006F6A1F"/>
    <w:rsid w:val="0070094B"/>
    <w:rsid w:val="00700D1D"/>
    <w:rsid w:val="00707101"/>
    <w:rsid w:val="00710C90"/>
    <w:rsid w:val="00720F19"/>
    <w:rsid w:val="00722EF1"/>
    <w:rsid w:val="007305D6"/>
    <w:rsid w:val="00741B57"/>
    <w:rsid w:val="007423F4"/>
    <w:rsid w:val="007463EB"/>
    <w:rsid w:val="00752A8C"/>
    <w:rsid w:val="00754C75"/>
    <w:rsid w:val="00760330"/>
    <w:rsid w:val="00763864"/>
    <w:rsid w:val="00765CA7"/>
    <w:rsid w:val="007665AA"/>
    <w:rsid w:val="007753BE"/>
    <w:rsid w:val="00776C9F"/>
    <w:rsid w:val="007819E7"/>
    <w:rsid w:val="00787406"/>
    <w:rsid w:val="007944DC"/>
    <w:rsid w:val="007953E6"/>
    <w:rsid w:val="007A7E45"/>
    <w:rsid w:val="007C28A0"/>
    <w:rsid w:val="007D1C46"/>
    <w:rsid w:val="007D3782"/>
    <w:rsid w:val="007D395B"/>
    <w:rsid w:val="007D404D"/>
    <w:rsid w:val="007D4430"/>
    <w:rsid w:val="007D5C67"/>
    <w:rsid w:val="007D600F"/>
    <w:rsid w:val="007D7D39"/>
    <w:rsid w:val="007E2C3F"/>
    <w:rsid w:val="007F1323"/>
    <w:rsid w:val="007F3A48"/>
    <w:rsid w:val="0080646E"/>
    <w:rsid w:val="0081414F"/>
    <w:rsid w:val="00836C34"/>
    <w:rsid w:val="008375C6"/>
    <w:rsid w:val="0084487B"/>
    <w:rsid w:val="00847352"/>
    <w:rsid w:val="00847495"/>
    <w:rsid w:val="00850FB1"/>
    <w:rsid w:val="00852671"/>
    <w:rsid w:val="008636E2"/>
    <w:rsid w:val="00863F6B"/>
    <w:rsid w:val="0087467F"/>
    <w:rsid w:val="00875259"/>
    <w:rsid w:val="008774BA"/>
    <w:rsid w:val="008A1702"/>
    <w:rsid w:val="008A7E2A"/>
    <w:rsid w:val="008B2C1B"/>
    <w:rsid w:val="008C1E1C"/>
    <w:rsid w:val="008C22F3"/>
    <w:rsid w:val="008E13D8"/>
    <w:rsid w:val="008E1A07"/>
    <w:rsid w:val="008E596F"/>
    <w:rsid w:val="008F09F3"/>
    <w:rsid w:val="008F66E0"/>
    <w:rsid w:val="0090453E"/>
    <w:rsid w:val="00904951"/>
    <w:rsid w:val="00913854"/>
    <w:rsid w:val="00913F8E"/>
    <w:rsid w:val="00916817"/>
    <w:rsid w:val="009273B3"/>
    <w:rsid w:val="009359F2"/>
    <w:rsid w:val="0094382E"/>
    <w:rsid w:val="00946C8F"/>
    <w:rsid w:val="00946D42"/>
    <w:rsid w:val="0094748D"/>
    <w:rsid w:val="0095172F"/>
    <w:rsid w:val="00951B1A"/>
    <w:rsid w:val="00960B0E"/>
    <w:rsid w:val="009677F9"/>
    <w:rsid w:val="00971306"/>
    <w:rsid w:val="009726D3"/>
    <w:rsid w:val="00973EF9"/>
    <w:rsid w:val="0098541D"/>
    <w:rsid w:val="00992318"/>
    <w:rsid w:val="009949CA"/>
    <w:rsid w:val="009971BE"/>
    <w:rsid w:val="009A4612"/>
    <w:rsid w:val="009A486B"/>
    <w:rsid w:val="009A742F"/>
    <w:rsid w:val="009B1A5B"/>
    <w:rsid w:val="009B5089"/>
    <w:rsid w:val="009C4CB5"/>
    <w:rsid w:val="009C6965"/>
    <w:rsid w:val="009D6FD1"/>
    <w:rsid w:val="009E013A"/>
    <w:rsid w:val="009E33D3"/>
    <w:rsid w:val="009E672B"/>
    <w:rsid w:val="009E7F4C"/>
    <w:rsid w:val="009F030E"/>
    <w:rsid w:val="00A021A2"/>
    <w:rsid w:val="00A021D8"/>
    <w:rsid w:val="00A029B2"/>
    <w:rsid w:val="00A02C09"/>
    <w:rsid w:val="00A030B2"/>
    <w:rsid w:val="00A109B5"/>
    <w:rsid w:val="00A320E5"/>
    <w:rsid w:val="00A376EC"/>
    <w:rsid w:val="00A47F64"/>
    <w:rsid w:val="00A5403E"/>
    <w:rsid w:val="00A5485A"/>
    <w:rsid w:val="00A611A4"/>
    <w:rsid w:val="00A6397D"/>
    <w:rsid w:val="00A70582"/>
    <w:rsid w:val="00A74444"/>
    <w:rsid w:val="00A86916"/>
    <w:rsid w:val="00A96C55"/>
    <w:rsid w:val="00AA0A7E"/>
    <w:rsid w:val="00AA3F0D"/>
    <w:rsid w:val="00AA775D"/>
    <w:rsid w:val="00AB5FEA"/>
    <w:rsid w:val="00AB6E08"/>
    <w:rsid w:val="00AB7B4E"/>
    <w:rsid w:val="00AC2485"/>
    <w:rsid w:val="00AC38F4"/>
    <w:rsid w:val="00AD008A"/>
    <w:rsid w:val="00AD2344"/>
    <w:rsid w:val="00AD5393"/>
    <w:rsid w:val="00AE1D9C"/>
    <w:rsid w:val="00AF17B2"/>
    <w:rsid w:val="00B05C19"/>
    <w:rsid w:val="00B15946"/>
    <w:rsid w:val="00B2284B"/>
    <w:rsid w:val="00B2737F"/>
    <w:rsid w:val="00B31E2E"/>
    <w:rsid w:val="00B37E5E"/>
    <w:rsid w:val="00B41BF8"/>
    <w:rsid w:val="00B433DE"/>
    <w:rsid w:val="00B475B0"/>
    <w:rsid w:val="00B519AC"/>
    <w:rsid w:val="00B60118"/>
    <w:rsid w:val="00B6608D"/>
    <w:rsid w:val="00B7335A"/>
    <w:rsid w:val="00B74473"/>
    <w:rsid w:val="00B8624E"/>
    <w:rsid w:val="00B94C5C"/>
    <w:rsid w:val="00BA40F8"/>
    <w:rsid w:val="00BA487B"/>
    <w:rsid w:val="00BA59C0"/>
    <w:rsid w:val="00BA7BD1"/>
    <w:rsid w:val="00BB1425"/>
    <w:rsid w:val="00BB2FFF"/>
    <w:rsid w:val="00BB39CC"/>
    <w:rsid w:val="00BB642B"/>
    <w:rsid w:val="00BD5157"/>
    <w:rsid w:val="00BD5607"/>
    <w:rsid w:val="00BF02E9"/>
    <w:rsid w:val="00BF3F24"/>
    <w:rsid w:val="00BF6222"/>
    <w:rsid w:val="00BF7852"/>
    <w:rsid w:val="00C03A50"/>
    <w:rsid w:val="00C065BD"/>
    <w:rsid w:val="00C15281"/>
    <w:rsid w:val="00C2287F"/>
    <w:rsid w:val="00C309DD"/>
    <w:rsid w:val="00C3302C"/>
    <w:rsid w:val="00C35DEE"/>
    <w:rsid w:val="00C37095"/>
    <w:rsid w:val="00C37F35"/>
    <w:rsid w:val="00C44D07"/>
    <w:rsid w:val="00C467AE"/>
    <w:rsid w:val="00C4706D"/>
    <w:rsid w:val="00C66936"/>
    <w:rsid w:val="00C71056"/>
    <w:rsid w:val="00C7470A"/>
    <w:rsid w:val="00C76D47"/>
    <w:rsid w:val="00C82284"/>
    <w:rsid w:val="00C90A27"/>
    <w:rsid w:val="00CA3AC7"/>
    <w:rsid w:val="00CA777A"/>
    <w:rsid w:val="00CB00D3"/>
    <w:rsid w:val="00CB0682"/>
    <w:rsid w:val="00CB09CA"/>
    <w:rsid w:val="00CB425F"/>
    <w:rsid w:val="00CB6A0B"/>
    <w:rsid w:val="00CC0238"/>
    <w:rsid w:val="00CC55AA"/>
    <w:rsid w:val="00CD3AAC"/>
    <w:rsid w:val="00CD3FE2"/>
    <w:rsid w:val="00CE67FB"/>
    <w:rsid w:val="00CE78AE"/>
    <w:rsid w:val="00CE797D"/>
    <w:rsid w:val="00CF4BBB"/>
    <w:rsid w:val="00CF771E"/>
    <w:rsid w:val="00D03282"/>
    <w:rsid w:val="00D03A7B"/>
    <w:rsid w:val="00D11ECB"/>
    <w:rsid w:val="00D1274E"/>
    <w:rsid w:val="00D16C3C"/>
    <w:rsid w:val="00D2496A"/>
    <w:rsid w:val="00D24A06"/>
    <w:rsid w:val="00D41593"/>
    <w:rsid w:val="00D47424"/>
    <w:rsid w:val="00D51F7C"/>
    <w:rsid w:val="00D524D3"/>
    <w:rsid w:val="00D539C2"/>
    <w:rsid w:val="00D7314C"/>
    <w:rsid w:val="00D94F2A"/>
    <w:rsid w:val="00D972EB"/>
    <w:rsid w:val="00DB4EF8"/>
    <w:rsid w:val="00DC09FD"/>
    <w:rsid w:val="00DC46D3"/>
    <w:rsid w:val="00DC4F4F"/>
    <w:rsid w:val="00DD2CF7"/>
    <w:rsid w:val="00DD44FC"/>
    <w:rsid w:val="00DE2416"/>
    <w:rsid w:val="00DE42F1"/>
    <w:rsid w:val="00DF31C3"/>
    <w:rsid w:val="00DF7B52"/>
    <w:rsid w:val="00E00A81"/>
    <w:rsid w:val="00E12015"/>
    <w:rsid w:val="00E134A6"/>
    <w:rsid w:val="00E23D2E"/>
    <w:rsid w:val="00E42E87"/>
    <w:rsid w:val="00E45890"/>
    <w:rsid w:val="00E56A17"/>
    <w:rsid w:val="00E62EF0"/>
    <w:rsid w:val="00E63BC4"/>
    <w:rsid w:val="00E73417"/>
    <w:rsid w:val="00E75C43"/>
    <w:rsid w:val="00E841BC"/>
    <w:rsid w:val="00E9321B"/>
    <w:rsid w:val="00E93ED2"/>
    <w:rsid w:val="00EA0EBE"/>
    <w:rsid w:val="00EA5D21"/>
    <w:rsid w:val="00ED0E3A"/>
    <w:rsid w:val="00ED4E5A"/>
    <w:rsid w:val="00EE218A"/>
    <w:rsid w:val="00EF2A2B"/>
    <w:rsid w:val="00EF6930"/>
    <w:rsid w:val="00EF6AE1"/>
    <w:rsid w:val="00F129EB"/>
    <w:rsid w:val="00F13757"/>
    <w:rsid w:val="00F17B21"/>
    <w:rsid w:val="00F24259"/>
    <w:rsid w:val="00F26652"/>
    <w:rsid w:val="00F352E6"/>
    <w:rsid w:val="00F3632B"/>
    <w:rsid w:val="00F41BDA"/>
    <w:rsid w:val="00F540A2"/>
    <w:rsid w:val="00F54F8E"/>
    <w:rsid w:val="00F568C0"/>
    <w:rsid w:val="00F63BA6"/>
    <w:rsid w:val="00F66043"/>
    <w:rsid w:val="00F67315"/>
    <w:rsid w:val="00F67A34"/>
    <w:rsid w:val="00F72B19"/>
    <w:rsid w:val="00F80FC0"/>
    <w:rsid w:val="00F91724"/>
    <w:rsid w:val="00F92AEE"/>
    <w:rsid w:val="00F9494E"/>
    <w:rsid w:val="00F973D2"/>
    <w:rsid w:val="00FA2948"/>
    <w:rsid w:val="00FA4610"/>
    <w:rsid w:val="00FA4DEA"/>
    <w:rsid w:val="00FC1DB5"/>
    <w:rsid w:val="00FC39A5"/>
    <w:rsid w:val="00FC67AA"/>
    <w:rsid w:val="00FD4475"/>
    <w:rsid w:val="00FD55B9"/>
    <w:rsid w:val="00FE437E"/>
    <w:rsid w:val="00FE4B89"/>
    <w:rsid w:val="00FF0F34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E34B2"/>
  <w15:docId w15:val="{B53C5809-FE46-4C42-B90D-48CFA347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uiPriority w:val="99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customStyle="1" w:styleId="userinputholderreadonly">
    <w:name w:val="userinputholderreadonly"/>
    <w:basedOn w:val="Zadanifontodlomka"/>
    <w:rsid w:val="00ED4E5A"/>
  </w:style>
  <w:style w:type="paragraph" w:styleId="Tekstbalonia">
    <w:name w:val="Balloon Text"/>
    <w:basedOn w:val="Normal"/>
    <w:link w:val="TekstbaloniaChar"/>
    <w:uiPriority w:val="99"/>
    <w:semiHidden/>
    <w:unhideWhenUsed/>
    <w:rsid w:val="00D415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593"/>
    <w:rPr>
      <w:rFonts w:ascii="Segoe UI" w:eastAsia="Times New Roman" w:hAnsi="Segoe UI" w:cs="Segoe UI"/>
      <w:sz w:val="18"/>
      <w:szCs w:val="18"/>
      <w:lang w:val="sl-SI"/>
    </w:rPr>
  </w:style>
  <w:style w:type="character" w:styleId="SlijeenaHiperveza">
    <w:name w:val="FollowedHyperlink"/>
    <w:basedOn w:val="Zadanifontodlomka"/>
    <w:uiPriority w:val="99"/>
    <w:semiHidden/>
    <w:unhideWhenUsed/>
    <w:rsid w:val="00E73417"/>
    <w:rPr>
      <w:color w:val="954F72"/>
      <w:u w:val="single"/>
    </w:rPr>
  </w:style>
  <w:style w:type="paragraph" w:customStyle="1" w:styleId="msonormal0">
    <w:name w:val="msonormal"/>
    <w:basedOn w:val="Normal"/>
    <w:rsid w:val="00E7341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hr-HR" w:eastAsia="hr-HR"/>
    </w:rPr>
  </w:style>
  <w:style w:type="paragraph" w:customStyle="1" w:styleId="xl65">
    <w:name w:val="xl65"/>
    <w:basedOn w:val="Normal"/>
    <w:rsid w:val="00E73417"/>
    <w:pPr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sz w:val="18"/>
      <w:szCs w:val="18"/>
      <w:lang w:val="hr-HR" w:eastAsia="hr-HR"/>
    </w:rPr>
  </w:style>
  <w:style w:type="paragraph" w:customStyle="1" w:styleId="xl66">
    <w:name w:val="xl66"/>
    <w:basedOn w:val="Normal"/>
    <w:rsid w:val="00E73417"/>
    <w:pPr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color w:val="000000"/>
      <w:sz w:val="18"/>
      <w:szCs w:val="18"/>
      <w:lang w:val="hr-HR" w:eastAsia="hr-HR"/>
    </w:rPr>
  </w:style>
  <w:style w:type="paragraph" w:customStyle="1" w:styleId="xl67">
    <w:name w:val="xl67"/>
    <w:basedOn w:val="Normal"/>
    <w:rsid w:val="00E73417"/>
    <w:pP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color w:val="000000"/>
      <w:sz w:val="18"/>
      <w:szCs w:val="18"/>
      <w:lang w:val="hr-HR" w:eastAsia="hr-HR"/>
    </w:rPr>
  </w:style>
  <w:style w:type="paragraph" w:customStyle="1" w:styleId="xl68">
    <w:name w:val="xl68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69">
    <w:name w:val="xl69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 w:eastAsia="hr-HR"/>
    </w:rPr>
  </w:style>
  <w:style w:type="paragraph" w:customStyle="1" w:styleId="xl70">
    <w:name w:val="xl70"/>
    <w:basedOn w:val="Normal"/>
    <w:rsid w:val="00E73417"/>
    <w:pPr>
      <w:shd w:val="clear" w:color="000000" w:fill="0000FF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color w:val="000000"/>
      <w:sz w:val="18"/>
      <w:szCs w:val="18"/>
      <w:lang w:val="hr-HR" w:eastAsia="hr-HR"/>
    </w:rPr>
  </w:style>
  <w:style w:type="paragraph" w:customStyle="1" w:styleId="xl71">
    <w:name w:val="xl71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0000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b/>
      <w:bCs/>
      <w:color w:val="FFFFFF"/>
      <w:sz w:val="20"/>
      <w:lang w:val="hr-HR" w:eastAsia="hr-HR"/>
    </w:rPr>
  </w:style>
  <w:style w:type="paragraph" w:customStyle="1" w:styleId="xl72">
    <w:name w:val="xl72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73">
    <w:name w:val="xl73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00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FFFFFF"/>
      <w:sz w:val="20"/>
      <w:lang w:val="hr-HR" w:eastAsia="hr-HR"/>
    </w:rPr>
  </w:style>
  <w:style w:type="paragraph" w:customStyle="1" w:styleId="xl74">
    <w:name w:val="xl74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75">
    <w:name w:val="xl75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76">
    <w:name w:val="xl76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77">
    <w:name w:val="xl77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FF"/>
      <w:sz w:val="20"/>
      <w:lang w:val="hr-HR" w:eastAsia="hr-HR"/>
    </w:rPr>
  </w:style>
  <w:style w:type="paragraph" w:customStyle="1" w:styleId="xl78">
    <w:name w:val="xl78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b/>
      <w:bCs/>
      <w:color w:val="0000FF"/>
      <w:sz w:val="20"/>
      <w:lang w:val="hr-HR" w:eastAsia="hr-HR"/>
    </w:rPr>
  </w:style>
  <w:style w:type="paragraph" w:customStyle="1" w:styleId="xl79">
    <w:name w:val="xl79"/>
    <w:basedOn w:val="Normal"/>
    <w:rsid w:val="00E734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9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80">
    <w:name w:val="xl80"/>
    <w:basedOn w:val="Normal"/>
    <w:rsid w:val="00E7341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81">
    <w:name w:val="xl81"/>
    <w:basedOn w:val="Normal"/>
    <w:rsid w:val="00510584"/>
    <w:pPr>
      <w:pBdr>
        <w:top w:val="single" w:sz="4" w:space="0" w:color="auto"/>
        <w:bottom w:val="single" w:sz="4" w:space="0" w:color="auto"/>
      </w:pBdr>
      <w:shd w:val="clear" w:color="000000" w:fill="E7E6E6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sz w:val="18"/>
      <w:szCs w:val="18"/>
      <w:lang w:val="hr-HR" w:eastAsia="hr-HR"/>
    </w:rPr>
  </w:style>
  <w:style w:type="paragraph" w:customStyle="1" w:styleId="xl82">
    <w:name w:val="xl82"/>
    <w:basedOn w:val="Normal"/>
    <w:rsid w:val="005105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sz w:val="18"/>
      <w:szCs w:val="18"/>
      <w:lang w:val="hr-HR" w:eastAsia="hr-HR"/>
    </w:rPr>
  </w:style>
  <w:style w:type="paragraph" w:customStyle="1" w:styleId="xl83">
    <w:name w:val="xl83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Arial" w:hAnsi="Arial" w:cs="Arial"/>
      <w:b/>
      <w:bCs/>
      <w:sz w:val="20"/>
      <w:lang w:val="hr-HR" w:eastAsia="hr-HR"/>
    </w:rPr>
  </w:style>
  <w:style w:type="paragraph" w:customStyle="1" w:styleId="xl84">
    <w:name w:val="xl84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hr-HR" w:eastAsia="hr-HR"/>
    </w:rPr>
  </w:style>
  <w:style w:type="paragraph" w:customStyle="1" w:styleId="xl85">
    <w:name w:val="xl85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86">
    <w:name w:val="xl86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87">
    <w:name w:val="xl87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88">
    <w:name w:val="xl88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Verdana" w:hAnsi="Verdana"/>
      <w:b/>
      <w:bCs/>
      <w:sz w:val="18"/>
      <w:szCs w:val="18"/>
      <w:lang w:val="hr-HR" w:eastAsia="hr-HR"/>
    </w:rPr>
  </w:style>
  <w:style w:type="paragraph" w:customStyle="1" w:styleId="xl89">
    <w:name w:val="xl89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90">
    <w:name w:val="xl90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91">
    <w:name w:val="xl91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92">
    <w:name w:val="xl92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93">
    <w:name w:val="xl93"/>
    <w:basedOn w:val="Normal"/>
    <w:rsid w:val="005105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94">
    <w:name w:val="xl94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95">
    <w:name w:val="xl95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96">
    <w:name w:val="xl96"/>
    <w:basedOn w:val="Normal"/>
    <w:rsid w:val="00510584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hd w:val="clear" w:color="000000" w:fill="D9E1F2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97">
    <w:name w:val="xl97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D9E1F2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98">
    <w:name w:val="xl98"/>
    <w:basedOn w:val="Normal"/>
    <w:rsid w:val="00510584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hd w:val="clear" w:color="000000" w:fill="B4C6E7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Arial" w:hAnsi="Arial" w:cs="Arial"/>
      <w:b/>
      <w:bCs/>
      <w:sz w:val="20"/>
      <w:lang w:val="hr-HR" w:eastAsia="hr-HR"/>
    </w:rPr>
  </w:style>
  <w:style w:type="paragraph" w:customStyle="1" w:styleId="xl99">
    <w:name w:val="xl99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B4C6E7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100">
    <w:name w:val="xl100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4C6E7"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101">
    <w:name w:val="xl101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D9E1F2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102">
    <w:name w:val="xl102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B4C6E7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b/>
      <w:bCs/>
      <w:color w:val="000000"/>
      <w:sz w:val="20"/>
      <w:lang w:val="hr-HR" w:eastAsia="hr-HR"/>
    </w:rPr>
  </w:style>
  <w:style w:type="paragraph" w:customStyle="1" w:styleId="xl103">
    <w:name w:val="xl103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104">
    <w:name w:val="xl104"/>
    <w:basedOn w:val="Normal"/>
    <w:rsid w:val="00510584"/>
    <w:pPr>
      <w:pBdr>
        <w:top w:val="single" w:sz="4" w:space="0" w:color="000000"/>
        <w:bottom w:val="single" w:sz="4" w:space="0" w:color="000000"/>
        <w:right w:val="single" w:sz="4" w:space="11" w:color="000000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auto"/>
    </w:pPr>
    <w:rPr>
      <w:rFonts w:ascii="Arial" w:hAnsi="Arial" w:cs="Arial"/>
      <w:color w:val="000000"/>
      <w:sz w:val="20"/>
      <w:lang w:val="hr-HR" w:eastAsia="hr-HR"/>
    </w:rPr>
  </w:style>
  <w:style w:type="paragraph" w:customStyle="1" w:styleId="xl105">
    <w:name w:val="xl105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106">
    <w:name w:val="xl106"/>
    <w:basedOn w:val="Normal"/>
    <w:rsid w:val="00510584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007B7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C1DB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C1DB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C1DB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C1DB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C1DB5"/>
    <w:rPr>
      <w:rFonts w:ascii="Times New Roman" w:eastAsia="Times New Roman" w:hAnsi="Times New Roman" w:cs="Times New Roman"/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49D33-A8D9-4AF9-A398-4D783956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26</Pages>
  <Words>6836</Words>
  <Characters>38970</Characters>
  <Application>Microsoft Office Word</Application>
  <DocSecurity>0</DocSecurity>
  <Lines>324</Lines>
  <Paragraphs>91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Vesna Škarica</cp:lastModifiedBy>
  <cp:revision>36</cp:revision>
  <cp:lastPrinted>2025-07-23T08:18:00Z</cp:lastPrinted>
  <dcterms:created xsi:type="dcterms:W3CDTF">2024-07-29T10:23:00Z</dcterms:created>
  <dcterms:modified xsi:type="dcterms:W3CDTF">2025-08-04T12:23:00Z</dcterms:modified>
</cp:coreProperties>
</file>