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D944C" w14:textId="77777777" w:rsidR="00D0188A" w:rsidRPr="00F31EE7" w:rsidRDefault="00D0188A" w:rsidP="00F31EE7">
      <w:pPr>
        <w:spacing w:after="0"/>
        <w:rPr>
          <w:i/>
          <w:color w:val="0070C0"/>
        </w:rPr>
      </w:pPr>
      <w:r w:rsidRPr="00F31EE7">
        <w:rPr>
          <w:i/>
          <w:color w:val="0070C0"/>
        </w:rPr>
        <w:t>KLASA: 400-02/2</w:t>
      </w:r>
      <w:r w:rsidR="00C51222" w:rsidRPr="00F31EE7">
        <w:rPr>
          <w:i/>
          <w:color w:val="0070C0"/>
        </w:rPr>
        <w:t>3</w:t>
      </w:r>
      <w:r w:rsidRPr="00F31EE7">
        <w:rPr>
          <w:i/>
          <w:color w:val="0070C0"/>
        </w:rPr>
        <w:t>-01/01</w:t>
      </w:r>
    </w:p>
    <w:p w14:paraId="708EF11D" w14:textId="72602E9C" w:rsidR="00D0188A" w:rsidRPr="00F31EE7" w:rsidRDefault="00D0188A" w:rsidP="00D0188A">
      <w:pPr>
        <w:spacing w:after="0"/>
        <w:rPr>
          <w:rFonts w:eastAsia="MS Mincho" w:cs="Times New Roman"/>
          <w:i/>
          <w:color w:val="0070C0"/>
          <w:sz w:val="20"/>
          <w:szCs w:val="20"/>
        </w:rPr>
      </w:pPr>
      <w:r w:rsidRPr="00F31EE7">
        <w:rPr>
          <w:rFonts w:eastAsia="MS Mincho" w:cs="Times New Roman"/>
          <w:i/>
          <w:color w:val="0070C0"/>
          <w:sz w:val="20"/>
          <w:szCs w:val="20"/>
        </w:rPr>
        <w:t>URBROJ: 2182-1-49-04/1-2</w:t>
      </w:r>
      <w:r w:rsidR="00024006">
        <w:rPr>
          <w:rFonts w:eastAsia="MS Mincho" w:cs="Times New Roman"/>
          <w:i/>
          <w:color w:val="0070C0"/>
          <w:sz w:val="20"/>
          <w:szCs w:val="20"/>
        </w:rPr>
        <w:t>4</w:t>
      </w:r>
      <w:r w:rsidR="008C7B4C">
        <w:rPr>
          <w:rFonts w:eastAsia="MS Mincho" w:cs="Times New Roman"/>
          <w:i/>
          <w:color w:val="0070C0"/>
          <w:sz w:val="20"/>
          <w:szCs w:val="20"/>
        </w:rPr>
        <w:t>-</w:t>
      </w:r>
      <w:r w:rsidR="00024006">
        <w:rPr>
          <w:rFonts w:eastAsia="MS Mincho" w:cs="Times New Roman"/>
          <w:i/>
          <w:color w:val="0070C0"/>
          <w:sz w:val="20"/>
          <w:szCs w:val="20"/>
        </w:rPr>
        <w:t>9</w:t>
      </w:r>
    </w:p>
    <w:p w14:paraId="36C4C6A5" w14:textId="0A477FE1" w:rsidR="003E0555" w:rsidRPr="00F31EE7" w:rsidRDefault="003E0555" w:rsidP="003E0555">
      <w:pPr>
        <w:rPr>
          <w:rFonts w:eastAsia="MS Mincho" w:cs="Times New Roman"/>
          <w:i/>
          <w:color w:val="0070C0"/>
          <w:sz w:val="20"/>
          <w:szCs w:val="20"/>
        </w:rPr>
      </w:pPr>
      <w:r w:rsidRPr="00F31EE7">
        <w:rPr>
          <w:rFonts w:eastAsia="MS Mincho" w:cs="Times New Roman"/>
          <w:i/>
          <w:color w:val="0070C0"/>
          <w:sz w:val="20"/>
          <w:szCs w:val="20"/>
        </w:rPr>
        <w:t xml:space="preserve">Šibenik, </w:t>
      </w:r>
      <w:r w:rsidR="00024006">
        <w:rPr>
          <w:rFonts w:eastAsia="MS Mincho" w:cs="Times New Roman"/>
          <w:i/>
          <w:color w:val="0070C0"/>
          <w:sz w:val="20"/>
          <w:szCs w:val="20"/>
        </w:rPr>
        <w:t>28</w:t>
      </w:r>
      <w:r w:rsidR="00D0188A" w:rsidRPr="00F31EE7">
        <w:rPr>
          <w:rFonts w:eastAsia="MS Mincho" w:cs="Times New Roman"/>
          <w:i/>
          <w:color w:val="0070C0"/>
          <w:sz w:val="20"/>
          <w:szCs w:val="20"/>
        </w:rPr>
        <w:t xml:space="preserve">. </w:t>
      </w:r>
      <w:r w:rsidR="00024006">
        <w:rPr>
          <w:rFonts w:eastAsia="MS Mincho" w:cs="Times New Roman"/>
          <w:i/>
          <w:color w:val="0070C0"/>
          <w:sz w:val="20"/>
          <w:szCs w:val="20"/>
        </w:rPr>
        <w:t>kolovoz</w:t>
      </w:r>
      <w:r w:rsidR="00D0188A" w:rsidRPr="00F31EE7">
        <w:rPr>
          <w:rFonts w:eastAsia="MS Mincho" w:cs="Times New Roman"/>
          <w:i/>
          <w:color w:val="0070C0"/>
          <w:sz w:val="20"/>
          <w:szCs w:val="20"/>
        </w:rPr>
        <w:t xml:space="preserve"> </w:t>
      </w:r>
      <w:r w:rsidR="00BC6AB5" w:rsidRPr="00F31EE7">
        <w:rPr>
          <w:rFonts w:eastAsia="MS Mincho" w:cs="Times New Roman"/>
          <w:i/>
          <w:color w:val="0070C0"/>
          <w:sz w:val="20"/>
          <w:szCs w:val="20"/>
        </w:rPr>
        <w:t>202</w:t>
      </w:r>
      <w:r w:rsidR="00024006">
        <w:rPr>
          <w:rFonts w:eastAsia="MS Mincho" w:cs="Times New Roman"/>
          <w:i/>
          <w:color w:val="0070C0"/>
          <w:sz w:val="20"/>
          <w:szCs w:val="20"/>
        </w:rPr>
        <w:t>4</w:t>
      </w:r>
      <w:r w:rsidRPr="00F31EE7">
        <w:rPr>
          <w:rFonts w:eastAsia="MS Mincho" w:cs="Times New Roman"/>
          <w:i/>
          <w:color w:val="0070C0"/>
          <w:sz w:val="20"/>
          <w:szCs w:val="20"/>
        </w:rPr>
        <w:t>.godine</w:t>
      </w:r>
    </w:p>
    <w:p w14:paraId="36056B01" w14:textId="77777777" w:rsidR="009624D6" w:rsidRDefault="009624D6"/>
    <w:p w14:paraId="08E6CEA6" w14:textId="4F536839" w:rsidR="009B1EB5" w:rsidRPr="00024006" w:rsidRDefault="00024006" w:rsidP="00024006">
      <w:pPr>
        <w:pStyle w:val="ListParagraph"/>
        <w:numPr>
          <w:ilvl w:val="0"/>
          <w:numId w:val="26"/>
        </w:numPr>
        <w:pBdr>
          <w:bottom w:val="single" w:sz="4" w:space="4" w:color="4F81BD"/>
        </w:pBdr>
        <w:spacing w:before="200" w:after="280" w:line="240" w:lineRule="auto"/>
        <w:ind w:right="-142"/>
        <w:jc w:val="center"/>
        <w:rPr>
          <w:rFonts w:ascii="Calibri" w:eastAsia="Calibri" w:hAnsi="Calibri"/>
          <w:bCs/>
          <w:i/>
          <w:iCs/>
          <w:color w:val="4F81BD"/>
          <w:sz w:val="40"/>
        </w:rPr>
      </w:pPr>
      <w:r>
        <w:rPr>
          <w:rFonts w:ascii="Calibri" w:eastAsia="Calibri" w:hAnsi="Calibri"/>
          <w:bCs/>
          <w:i/>
          <w:iCs/>
          <w:color w:val="4F81BD"/>
          <w:sz w:val="40"/>
        </w:rPr>
        <w:t xml:space="preserve">Izmjene i dopune </w:t>
      </w:r>
      <w:r w:rsidR="004331B3" w:rsidRPr="00024006">
        <w:rPr>
          <w:rFonts w:ascii="Calibri" w:eastAsia="Calibri" w:hAnsi="Calibri"/>
          <w:bCs/>
          <w:i/>
          <w:iCs/>
          <w:color w:val="4F81BD"/>
          <w:sz w:val="40"/>
        </w:rPr>
        <w:t>Financijsk</w:t>
      </w:r>
      <w:r>
        <w:rPr>
          <w:rFonts w:ascii="Calibri" w:eastAsia="Calibri" w:hAnsi="Calibri"/>
          <w:bCs/>
          <w:i/>
          <w:iCs/>
          <w:color w:val="4F81BD"/>
          <w:sz w:val="40"/>
        </w:rPr>
        <w:t>og</w:t>
      </w:r>
      <w:r w:rsidR="004331B3" w:rsidRPr="00024006">
        <w:rPr>
          <w:rFonts w:ascii="Calibri" w:eastAsia="Calibri" w:hAnsi="Calibri"/>
          <w:bCs/>
          <w:i/>
          <w:iCs/>
          <w:color w:val="4F81BD"/>
          <w:sz w:val="40"/>
        </w:rPr>
        <w:t xml:space="preserve"> plan</w:t>
      </w:r>
      <w:r>
        <w:rPr>
          <w:rFonts w:ascii="Calibri" w:eastAsia="Calibri" w:hAnsi="Calibri"/>
          <w:bCs/>
          <w:i/>
          <w:iCs/>
          <w:color w:val="4F81BD"/>
          <w:sz w:val="40"/>
        </w:rPr>
        <w:t>a</w:t>
      </w:r>
      <w:r w:rsidR="002016D4" w:rsidRPr="00024006">
        <w:rPr>
          <w:rFonts w:ascii="Calibri" w:eastAsia="Calibri" w:hAnsi="Calibri"/>
          <w:bCs/>
          <w:i/>
          <w:iCs/>
          <w:color w:val="4F81BD"/>
          <w:sz w:val="40"/>
        </w:rPr>
        <w:t xml:space="preserve"> </w:t>
      </w:r>
    </w:p>
    <w:p w14:paraId="19925C25" w14:textId="77777777" w:rsidR="009624D6" w:rsidRPr="009B1EB5" w:rsidRDefault="002016D4" w:rsidP="009B1EB5">
      <w:pPr>
        <w:pBdr>
          <w:bottom w:val="single" w:sz="4" w:space="4" w:color="4F81BD"/>
        </w:pBdr>
        <w:spacing w:before="200" w:after="280" w:line="240" w:lineRule="auto"/>
        <w:ind w:left="-426" w:right="-142"/>
        <w:jc w:val="center"/>
        <w:rPr>
          <w:rFonts w:ascii="Calibri" w:eastAsia="Calibri" w:hAnsi="Calibri"/>
          <w:b/>
          <w:bCs/>
          <w:i/>
          <w:iCs/>
          <w:color w:val="4F81BD"/>
          <w:sz w:val="40"/>
        </w:rPr>
      </w:pPr>
      <w:r w:rsidRPr="009B1EB5">
        <w:rPr>
          <w:rFonts w:ascii="Calibri" w:eastAsia="Calibri" w:hAnsi="Calibri"/>
          <w:b/>
          <w:bCs/>
          <w:i/>
          <w:iCs/>
          <w:color w:val="4F81BD"/>
          <w:sz w:val="40"/>
        </w:rPr>
        <w:t xml:space="preserve">Javne ustanove </w:t>
      </w:r>
      <w:r w:rsidR="009B1EB5"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„Nacionalni park Krka“</w:t>
      </w:r>
    </w:p>
    <w:p w14:paraId="1EE5C6DE" w14:textId="77777777" w:rsidR="009624D6" w:rsidRDefault="00BC291F">
      <w:pPr>
        <w:pBdr>
          <w:bottom w:val="single" w:sz="4" w:space="4" w:color="4F81BD"/>
        </w:pBdr>
        <w:spacing w:before="200" w:after="280" w:line="240" w:lineRule="auto"/>
        <w:ind w:left="567" w:right="-142" w:hanging="993"/>
        <w:jc w:val="center"/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</w:pPr>
      <w:r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202</w:t>
      </w:r>
      <w:r w:rsidR="00DA5C39"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4</w:t>
      </w:r>
      <w:r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. – 202</w:t>
      </w:r>
      <w:r w:rsidR="00DA5C39"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6</w:t>
      </w:r>
      <w:r w:rsidR="002016D4">
        <w:rPr>
          <w:rFonts w:ascii="Calibri" w:eastAsia="Calibri" w:hAnsi="Calibri" w:cs="Times New Roman"/>
          <w:b/>
          <w:bCs/>
          <w:i/>
          <w:iCs/>
          <w:color w:val="4F81BD"/>
          <w:sz w:val="40"/>
        </w:rPr>
        <w:t>. godine</w:t>
      </w:r>
    </w:p>
    <w:p w14:paraId="700AFACD" w14:textId="77777777" w:rsidR="009624D6" w:rsidRDefault="002016D4">
      <w:pPr>
        <w:jc w:val="center"/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181618C8" wp14:editId="22C179CA">
            <wp:extent cx="3871595" cy="3401695"/>
            <wp:effectExtent l="0" t="0" r="0" b="8255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1595" cy="34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44879A" w14:textId="77777777" w:rsidR="009624D6" w:rsidRDefault="009624D6">
      <w:pPr>
        <w:jc w:val="center"/>
        <w:rPr>
          <w:lang w:eastAsia="hr-HR"/>
        </w:rPr>
      </w:pPr>
    </w:p>
    <w:p w14:paraId="101305FA" w14:textId="77777777" w:rsidR="009624D6" w:rsidRDefault="009624D6">
      <w:pPr>
        <w:jc w:val="center"/>
        <w:rPr>
          <w:lang w:eastAsia="hr-HR"/>
        </w:rPr>
      </w:pPr>
    </w:p>
    <w:p w14:paraId="44D8F201" w14:textId="77777777" w:rsidR="00D30379" w:rsidRDefault="00D30379">
      <w:pPr>
        <w:jc w:val="center"/>
        <w:rPr>
          <w:lang w:eastAsia="hr-HR"/>
        </w:rPr>
      </w:pPr>
    </w:p>
    <w:p w14:paraId="51C8F451" w14:textId="77777777" w:rsidR="00D30379" w:rsidRDefault="00D30379">
      <w:pPr>
        <w:jc w:val="center"/>
        <w:rPr>
          <w:lang w:eastAsia="hr-HR"/>
        </w:rPr>
      </w:pPr>
    </w:p>
    <w:p w14:paraId="2551AD1B" w14:textId="77777777" w:rsidR="00D30379" w:rsidRDefault="00D30379">
      <w:pPr>
        <w:jc w:val="center"/>
        <w:rPr>
          <w:lang w:eastAsia="hr-HR"/>
        </w:rPr>
      </w:pPr>
    </w:p>
    <w:p w14:paraId="496AAAF1" w14:textId="77777777" w:rsidR="00D30379" w:rsidRDefault="00D30379">
      <w:pPr>
        <w:jc w:val="center"/>
        <w:rPr>
          <w:lang w:eastAsia="hr-HR"/>
        </w:rPr>
      </w:pPr>
    </w:p>
    <w:p w14:paraId="1C2CB9FE" w14:textId="77777777" w:rsidR="009624D6" w:rsidRDefault="009624D6">
      <w:pPr>
        <w:jc w:val="center"/>
        <w:rPr>
          <w:lang w:eastAsia="hr-HR"/>
        </w:rPr>
      </w:pPr>
    </w:p>
    <w:p w14:paraId="7AE801F6" w14:textId="77777777" w:rsidR="009624D6" w:rsidRDefault="009624D6">
      <w:pPr>
        <w:jc w:val="center"/>
        <w:rPr>
          <w:lang w:eastAsia="hr-HR"/>
        </w:rPr>
      </w:pPr>
    </w:p>
    <w:p w14:paraId="31A03F84" w14:textId="51CE23E6" w:rsidR="009624D6" w:rsidRDefault="00024006">
      <w:pPr>
        <w:jc w:val="center"/>
        <w:rPr>
          <w:b/>
          <w:i/>
          <w:lang w:eastAsia="hr-HR"/>
        </w:rPr>
      </w:pPr>
      <w:r>
        <w:rPr>
          <w:b/>
          <w:i/>
          <w:lang w:eastAsia="hr-HR"/>
        </w:rPr>
        <w:t>kolovoz</w:t>
      </w:r>
      <w:r w:rsidR="002016D4">
        <w:rPr>
          <w:b/>
          <w:i/>
          <w:lang w:eastAsia="hr-HR"/>
        </w:rPr>
        <w:t xml:space="preserve"> 20</w:t>
      </w:r>
      <w:r w:rsidR="00BC6AB5">
        <w:rPr>
          <w:b/>
          <w:i/>
          <w:lang w:eastAsia="hr-HR"/>
        </w:rPr>
        <w:t>2</w:t>
      </w:r>
      <w:r w:rsidR="00DA5C39">
        <w:rPr>
          <w:b/>
          <w:i/>
          <w:lang w:eastAsia="hr-HR"/>
        </w:rPr>
        <w:t>3</w:t>
      </w:r>
      <w:r w:rsidR="002016D4">
        <w:rPr>
          <w:b/>
          <w:i/>
          <w:lang w:eastAsia="hr-HR"/>
        </w:rPr>
        <w:t xml:space="preserve">. </w:t>
      </w:r>
    </w:p>
    <w:p w14:paraId="6BB17C3F" w14:textId="77777777" w:rsidR="009624D6" w:rsidRDefault="009624D6">
      <w:pPr>
        <w:jc w:val="center"/>
        <w:rPr>
          <w:lang w:eastAsia="hr-HR"/>
        </w:rPr>
      </w:pPr>
    </w:p>
    <w:p w14:paraId="12F8802A" w14:textId="77777777" w:rsidR="009624D6" w:rsidRDefault="009624D6">
      <w:pPr>
        <w:jc w:val="center"/>
        <w:rPr>
          <w:lang w:eastAsia="hr-HR"/>
        </w:rPr>
      </w:pPr>
    </w:p>
    <w:p w14:paraId="625987B9" w14:textId="77777777" w:rsidR="009624D6" w:rsidRDefault="002016D4">
      <w:pPr>
        <w:jc w:val="center"/>
        <w:rPr>
          <w:rFonts w:asciiTheme="majorHAnsi" w:hAnsiTheme="majorHAnsi"/>
          <w:b/>
          <w:sz w:val="28"/>
          <w:szCs w:val="28"/>
          <w:lang w:eastAsia="hr-HR"/>
        </w:rPr>
      </w:pPr>
      <w:r>
        <w:rPr>
          <w:rFonts w:asciiTheme="majorHAnsi" w:hAnsiTheme="majorHAnsi"/>
          <w:b/>
          <w:sz w:val="28"/>
          <w:szCs w:val="28"/>
          <w:lang w:eastAsia="hr-HR"/>
        </w:rPr>
        <w:t>Sadržaj</w:t>
      </w:r>
    </w:p>
    <w:p w14:paraId="1FB8B474" w14:textId="77777777" w:rsidR="009624D6" w:rsidRDefault="009624D6">
      <w:pPr>
        <w:rPr>
          <w:lang w:eastAsia="hr-HR"/>
        </w:rPr>
      </w:pPr>
    </w:p>
    <w:p w14:paraId="0D6611ED" w14:textId="7F16E0A5" w:rsidR="00666F12" w:rsidRDefault="002016D4">
      <w:pPr>
        <w:pStyle w:val="TOC1"/>
        <w:tabs>
          <w:tab w:val="left" w:pos="440"/>
          <w:tab w:val="right" w:leader="dot" w:pos="9060"/>
        </w:tabs>
        <w:rPr>
          <w:rFonts w:eastAsiaTheme="minorEastAsia"/>
          <w:noProof/>
          <w:lang w:eastAsia="hr-HR"/>
        </w:rPr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TOC \o "1-7" \h \z \u </w:instrText>
      </w:r>
      <w:r>
        <w:rPr>
          <w:lang w:eastAsia="hr-HR"/>
        </w:rPr>
        <w:fldChar w:fldCharType="separate"/>
      </w:r>
      <w:hyperlink w:anchor="_Toc153441146" w:history="1">
        <w:r w:rsidR="00666F12" w:rsidRPr="00F914B9">
          <w:rPr>
            <w:rStyle w:val="Hyperlink"/>
            <w:noProof/>
          </w:rPr>
          <w:t>I.</w:t>
        </w:r>
        <w:r w:rsidR="00666F12">
          <w:rPr>
            <w:rFonts w:eastAsiaTheme="minorEastAsia"/>
            <w:noProof/>
            <w:lang w:eastAsia="hr-HR"/>
          </w:rPr>
          <w:tab/>
        </w:r>
        <w:r w:rsidR="00666F12" w:rsidRPr="00F914B9">
          <w:rPr>
            <w:rStyle w:val="Hyperlink"/>
            <w:noProof/>
          </w:rPr>
          <w:t>Opći dio Financijskog plana Javne ustanove „Nacionalni park Krka“ 2024. – 2026. godine</w:t>
        </w:r>
        <w:r w:rsidR="00666F12">
          <w:rPr>
            <w:noProof/>
            <w:webHidden/>
          </w:rPr>
          <w:tab/>
        </w:r>
        <w:r w:rsidR="00666F12">
          <w:rPr>
            <w:noProof/>
            <w:webHidden/>
          </w:rPr>
          <w:fldChar w:fldCharType="begin"/>
        </w:r>
        <w:r w:rsidR="00666F12">
          <w:rPr>
            <w:noProof/>
            <w:webHidden/>
          </w:rPr>
          <w:instrText xml:space="preserve"> PAGEREF _Toc153441146 \h </w:instrText>
        </w:r>
        <w:r w:rsidR="00666F12">
          <w:rPr>
            <w:noProof/>
            <w:webHidden/>
          </w:rPr>
        </w:r>
        <w:r w:rsidR="00666F12">
          <w:rPr>
            <w:noProof/>
            <w:webHidden/>
          </w:rPr>
          <w:fldChar w:fldCharType="separate"/>
        </w:r>
        <w:r w:rsidR="00FD2D74">
          <w:rPr>
            <w:noProof/>
            <w:webHidden/>
          </w:rPr>
          <w:t>3</w:t>
        </w:r>
        <w:r w:rsidR="00666F12">
          <w:rPr>
            <w:noProof/>
            <w:webHidden/>
          </w:rPr>
          <w:fldChar w:fldCharType="end"/>
        </w:r>
      </w:hyperlink>
    </w:p>
    <w:p w14:paraId="1FCA677F" w14:textId="2A8FBB0B" w:rsidR="00666F12" w:rsidRDefault="008F2C1C">
      <w:pPr>
        <w:pStyle w:val="TOC2"/>
        <w:tabs>
          <w:tab w:val="left" w:pos="660"/>
          <w:tab w:val="right" w:leader="dot" w:pos="9060"/>
        </w:tabs>
        <w:rPr>
          <w:rFonts w:eastAsiaTheme="minorEastAsia"/>
          <w:noProof/>
          <w:lang w:eastAsia="hr-HR"/>
        </w:rPr>
      </w:pPr>
      <w:hyperlink w:anchor="_Toc153441147" w:history="1">
        <w:r w:rsidR="00666F12" w:rsidRPr="00F914B9">
          <w:rPr>
            <w:rStyle w:val="Hyperlink"/>
            <w:noProof/>
          </w:rPr>
          <w:t>1.</w:t>
        </w:r>
        <w:r w:rsidR="00666F12">
          <w:rPr>
            <w:rFonts w:eastAsiaTheme="minorEastAsia"/>
            <w:noProof/>
            <w:lang w:eastAsia="hr-HR"/>
          </w:rPr>
          <w:tab/>
        </w:r>
        <w:r w:rsidR="00666F12" w:rsidRPr="00F914B9">
          <w:rPr>
            <w:rStyle w:val="Hyperlink"/>
            <w:noProof/>
          </w:rPr>
          <w:t>Sažetak</w:t>
        </w:r>
        <w:r w:rsidR="00666F12">
          <w:rPr>
            <w:noProof/>
            <w:webHidden/>
          </w:rPr>
          <w:tab/>
        </w:r>
        <w:r w:rsidR="00666F12">
          <w:rPr>
            <w:noProof/>
            <w:webHidden/>
          </w:rPr>
          <w:fldChar w:fldCharType="begin"/>
        </w:r>
        <w:r w:rsidR="00666F12">
          <w:rPr>
            <w:noProof/>
            <w:webHidden/>
          </w:rPr>
          <w:instrText xml:space="preserve"> PAGEREF _Toc153441147 \h </w:instrText>
        </w:r>
        <w:r w:rsidR="00666F12">
          <w:rPr>
            <w:noProof/>
            <w:webHidden/>
          </w:rPr>
        </w:r>
        <w:r w:rsidR="00666F12">
          <w:rPr>
            <w:noProof/>
            <w:webHidden/>
          </w:rPr>
          <w:fldChar w:fldCharType="separate"/>
        </w:r>
        <w:r w:rsidR="00FD2D74">
          <w:rPr>
            <w:noProof/>
            <w:webHidden/>
          </w:rPr>
          <w:t>3</w:t>
        </w:r>
        <w:r w:rsidR="00666F12">
          <w:rPr>
            <w:noProof/>
            <w:webHidden/>
          </w:rPr>
          <w:fldChar w:fldCharType="end"/>
        </w:r>
      </w:hyperlink>
    </w:p>
    <w:p w14:paraId="32F14808" w14:textId="22288572" w:rsidR="00666F12" w:rsidRDefault="008F2C1C">
      <w:pPr>
        <w:pStyle w:val="TOC2"/>
        <w:tabs>
          <w:tab w:val="left" w:pos="660"/>
          <w:tab w:val="right" w:leader="dot" w:pos="9060"/>
        </w:tabs>
        <w:rPr>
          <w:rFonts w:eastAsiaTheme="minorEastAsia"/>
          <w:noProof/>
          <w:lang w:eastAsia="hr-HR"/>
        </w:rPr>
      </w:pPr>
      <w:hyperlink w:anchor="_Toc153441148" w:history="1">
        <w:r w:rsidR="00666F12" w:rsidRPr="00F914B9">
          <w:rPr>
            <w:rStyle w:val="Hyperlink"/>
            <w:noProof/>
          </w:rPr>
          <w:t>2.</w:t>
        </w:r>
        <w:r w:rsidR="00666F12">
          <w:rPr>
            <w:rFonts w:eastAsiaTheme="minorEastAsia"/>
            <w:noProof/>
            <w:lang w:eastAsia="hr-HR"/>
          </w:rPr>
          <w:tab/>
        </w:r>
        <w:r w:rsidR="00666F12" w:rsidRPr="00F914B9">
          <w:rPr>
            <w:rStyle w:val="Hyperlink"/>
            <w:noProof/>
          </w:rPr>
          <w:t>Račun prihoda i rashoda</w:t>
        </w:r>
        <w:r w:rsidR="00666F12">
          <w:rPr>
            <w:noProof/>
            <w:webHidden/>
          </w:rPr>
          <w:tab/>
        </w:r>
        <w:r w:rsidR="00666F12">
          <w:rPr>
            <w:noProof/>
            <w:webHidden/>
          </w:rPr>
          <w:fldChar w:fldCharType="begin"/>
        </w:r>
        <w:r w:rsidR="00666F12">
          <w:rPr>
            <w:noProof/>
            <w:webHidden/>
          </w:rPr>
          <w:instrText xml:space="preserve"> PAGEREF _Toc153441148 \h </w:instrText>
        </w:r>
        <w:r w:rsidR="00666F12">
          <w:rPr>
            <w:noProof/>
            <w:webHidden/>
          </w:rPr>
        </w:r>
        <w:r w:rsidR="00666F12">
          <w:rPr>
            <w:noProof/>
            <w:webHidden/>
          </w:rPr>
          <w:fldChar w:fldCharType="separate"/>
        </w:r>
        <w:r w:rsidR="00FD2D74">
          <w:rPr>
            <w:noProof/>
            <w:webHidden/>
          </w:rPr>
          <w:t>4</w:t>
        </w:r>
        <w:r w:rsidR="00666F12">
          <w:rPr>
            <w:noProof/>
            <w:webHidden/>
          </w:rPr>
          <w:fldChar w:fldCharType="end"/>
        </w:r>
      </w:hyperlink>
    </w:p>
    <w:p w14:paraId="6D652D06" w14:textId="579272EC" w:rsidR="00666F12" w:rsidRDefault="008F2C1C">
      <w:pPr>
        <w:pStyle w:val="TOC2"/>
        <w:tabs>
          <w:tab w:val="left" w:pos="660"/>
          <w:tab w:val="right" w:leader="dot" w:pos="9060"/>
        </w:tabs>
        <w:rPr>
          <w:rFonts w:eastAsiaTheme="minorEastAsia"/>
          <w:noProof/>
          <w:lang w:eastAsia="hr-HR"/>
        </w:rPr>
      </w:pPr>
      <w:hyperlink w:anchor="_Toc153441149" w:history="1">
        <w:r w:rsidR="00666F12" w:rsidRPr="00F914B9">
          <w:rPr>
            <w:rStyle w:val="Hyperlink"/>
            <w:noProof/>
          </w:rPr>
          <w:t>3.</w:t>
        </w:r>
        <w:r w:rsidR="00666F12">
          <w:rPr>
            <w:rFonts w:eastAsiaTheme="minorEastAsia"/>
            <w:noProof/>
            <w:lang w:eastAsia="hr-HR"/>
          </w:rPr>
          <w:tab/>
        </w:r>
        <w:r w:rsidR="00666F12" w:rsidRPr="00F914B9">
          <w:rPr>
            <w:rStyle w:val="Hyperlink"/>
            <w:noProof/>
          </w:rPr>
          <w:t>Prihodi i rashodi prema izvorima financiranja</w:t>
        </w:r>
        <w:r w:rsidR="00666F12">
          <w:rPr>
            <w:noProof/>
            <w:webHidden/>
          </w:rPr>
          <w:tab/>
        </w:r>
        <w:r w:rsidR="00666F12">
          <w:rPr>
            <w:noProof/>
            <w:webHidden/>
          </w:rPr>
          <w:fldChar w:fldCharType="begin"/>
        </w:r>
        <w:r w:rsidR="00666F12">
          <w:rPr>
            <w:noProof/>
            <w:webHidden/>
          </w:rPr>
          <w:instrText xml:space="preserve"> PAGEREF _Toc153441149 \h </w:instrText>
        </w:r>
        <w:r w:rsidR="00666F12">
          <w:rPr>
            <w:noProof/>
            <w:webHidden/>
          </w:rPr>
        </w:r>
        <w:r w:rsidR="00666F12">
          <w:rPr>
            <w:noProof/>
            <w:webHidden/>
          </w:rPr>
          <w:fldChar w:fldCharType="separate"/>
        </w:r>
        <w:r w:rsidR="00FD2D74">
          <w:rPr>
            <w:noProof/>
            <w:webHidden/>
          </w:rPr>
          <w:t>7</w:t>
        </w:r>
        <w:r w:rsidR="00666F12">
          <w:rPr>
            <w:noProof/>
            <w:webHidden/>
          </w:rPr>
          <w:fldChar w:fldCharType="end"/>
        </w:r>
      </w:hyperlink>
    </w:p>
    <w:p w14:paraId="29685F2D" w14:textId="12F06AD3" w:rsidR="00666F12" w:rsidRDefault="008F2C1C">
      <w:pPr>
        <w:pStyle w:val="TOC2"/>
        <w:tabs>
          <w:tab w:val="left" w:pos="660"/>
          <w:tab w:val="right" w:leader="dot" w:pos="9060"/>
        </w:tabs>
        <w:rPr>
          <w:rFonts w:eastAsiaTheme="minorEastAsia"/>
          <w:noProof/>
          <w:lang w:eastAsia="hr-HR"/>
        </w:rPr>
      </w:pPr>
      <w:hyperlink w:anchor="_Toc153441151" w:history="1">
        <w:r w:rsidR="00666F12" w:rsidRPr="00F914B9">
          <w:rPr>
            <w:rStyle w:val="Hyperlink"/>
            <w:noProof/>
          </w:rPr>
          <w:t>4.</w:t>
        </w:r>
        <w:r w:rsidR="00666F12">
          <w:rPr>
            <w:rFonts w:eastAsiaTheme="minorEastAsia"/>
            <w:noProof/>
            <w:lang w:eastAsia="hr-HR"/>
          </w:rPr>
          <w:tab/>
        </w:r>
        <w:r w:rsidR="00666F12" w:rsidRPr="00F914B9">
          <w:rPr>
            <w:rStyle w:val="Hyperlink"/>
            <w:noProof/>
          </w:rPr>
          <w:t>Rashodi prema f</w:t>
        </w:r>
        <w:r w:rsidR="00666F12">
          <w:rPr>
            <w:rStyle w:val="Hyperlink"/>
            <w:noProof/>
          </w:rPr>
          <w:t xml:space="preserve">unkcijskoj klasifikaciji </w:t>
        </w:r>
        <w:r w:rsidR="00666F12">
          <w:rPr>
            <w:noProof/>
            <w:webHidden/>
          </w:rPr>
          <w:tab/>
        </w:r>
        <w:r w:rsidR="00666F12">
          <w:rPr>
            <w:noProof/>
            <w:webHidden/>
          </w:rPr>
          <w:fldChar w:fldCharType="begin"/>
        </w:r>
        <w:r w:rsidR="00666F12">
          <w:rPr>
            <w:noProof/>
            <w:webHidden/>
          </w:rPr>
          <w:instrText xml:space="preserve"> PAGEREF _Toc153441151 \h </w:instrText>
        </w:r>
        <w:r w:rsidR="00666F12">
          <w:rPr>
            <w:noProof/>
            <w:webHidden/>
          </w:rPr>
        </w:r>
        <w:r w:rsidR="00666F12">
          <w:rPr>
            <w:noProof/>
            <w:webHidden/>
          </w:rPr>
          <w:fldChar w:fldCharType="separate"/>
        </w:r>
        <w:r w:rsidR="00FD2D74">
          <w:rPr>
            <w:noProof/>
            <w:webHidden/>
          </w:rPr>
          <w:t>8</w:t>
        </w:r>
        <w:r w:rsidR="00666F12">
          <w:rPr>
            <w:noProof/>
            <w:webHidden/>
          </w:rPr>
          <w:fldChar w:fldCharType="end"/>
        </w:r>
      </w:hyperlink>
    </w:p>
    <w:p w14:paraId="24181652" w14:textId="050E7D1E" w:rsidR="00666F12" w:rsidRDefault="008F2C1C">
      <w:pPr>
        <w:pStyle w:val="TOC1"/>
        <w:tabs>
          <w:tab w:val="left" w:pos="440"/>
          <w:tab w:val="right" w:leader="dot" w:pos="9060"/>
        </w:tabs>
        <w:rPr>
          <w:rFonts w:eastAsiaTheme="minorEastAsia"/>
          <w:noProof/>
          <w:lang w:eastAsia="hr-HR"/>
        </w:rPr>
      </w:pPr>
      <w:hyperlink w:anchor="_Toc153441152" w:history="1">
        <w:r w:rsidR="00666F12" w:rsidRPr="00F914B9">
          <w:rPr>
            <w:rStyle w:val="Hyperlink"/>
            <w:noProof/>
          </w:rPr>
          <w:t>II.</w:t>
        </w:r>
        <w:r w:rsidR="00666F12">
          <w:rPr>
            <w:rFonts w:eastAsiaTheme="minorEastAsia"/>
            <w:noProof/>
            <w:lang w:eastAsia="hr-HR"/>
          </w:rPr>
          <w:tab/>
        </w:r>
        <w:r w:rsidR="00666F12" w:rsidRPr="00F914B9">
          <w:rPr>
            <w:rStyle w:val="Hyperlink"/>
            <w:noProof/>
          </w:rPr>
          <w:t>Posebni dio II. Izmjena i dopuna Financijskog plana Javne ustanove Nacionalni park Krka</w:t>
        </w:r>
        <w:r w:rsidR="00666F12">
          <w:rPr>
            <w:noProof/>
            <w:webHidden/>
          </w:rPr>
          <w:tab/>
        </w:r>
        <w:r w:rsidR="00666F12">
          <w:rPr>
            <w:noProof/>
            <w:webHidden/>
          </w:rPr>
          <w:fldChar w:fldCharType="begin"/>
        </w:r>
        <w:r w:rsidR="00666F12">
          <w:rPr>
            <w:noProof/>
            <w:webHidden/>
          </w:rPr>
          <w:instrText xml:space="preserve"> PAGEREF _Toc153441152 \h </w:instrText>
        </w:r>
        <w:r w:rsidR="00666F12">
          <w:rPr>
            <w:noProof/>
            <w:webHidden/>
          </w:rPr>
        </w:r>
        <w:r w:rsidR="00666F12">
          <w:rPr>
            <w:noProof/>
            <w:webHidden/>
          </w:rPr>
          <w:fldChar w:fldCharType="separate"/>
        </w:r>
        <w:r w:rsidR="00FD2D74">
          <w:rPr>
            <w:noProof/>
            <w:webHidden/>
          </w:rPr>
          <w:t>8</w:t>
        </w:r>
        <w:r w:rsidR="00666F12">
          <w:rPr>
            <w:noProof/>
            <w:webHidden/>
          </w:rPr>
          <w:fldChar w:fldCharType="end"/>
        </w:r>
      </w:hyperlink>
    </w:p>
    <w:p w14:paraId="4B1CFA84" w14:textId="69673AF4" w:rsidR="00666F12" w:rsidRDefault="008F2C1C">
      <w:pPr>
        <w:pStyle w:val="TOC1"/>
        <w:tabs>
          <w:tab w:val="left" w:pos="660"/>
          <w:tab w:val="right" w:leader="dot" w:pos="9060"/>
        </w:tabs>
        <w:rPr>
          <w:rFonts w:eastAsiaTheme="minorEastAsia"/>
          <w:noProof/>
          <w:lang w:eastAsia="hr-HR"/>
        </w:rPr>
      </w:pPr>
      <w:hyperlink w:anchor="_Toc153441153" w:history="1">
        <w:r w:rsidR="00666F12" w:rsidRPr="00F914B9">
          <w:rPr>
            <w:rStyle w:val="Hyperlink"/>
            <w:noProof/>
          </w:rPr>
          <w:t>III.</w:t>
        </w:r>
        <w:r w:rsidR="00666F12">
          <w:rPr>
            <w:rFonts w:eastAsiaTheme="minorEastAsia"/>
            <w:noProof/>
            <w:lang w:eastAsia="hr-HR"/>
          </w:rPr>
          <w:tab/>
        </w:r>
        <w:r w:rsidR="00666F12" w:rsidRPr="00F914B9">
          <w:rPr>
            <w:rStyle w:val="Hyperlink"/>
            <w:noProof/>
          </w:rPr>
          <w:t>Bilješke uz Financijski plan 2024. – 2026. godine Javne ustanove „Nacionalni park Krka“</w:t>
        </w:r>
        <w:r w:rsidR="00666F12">
          <w:rPr>
            <w:noProof/>
            <w:webHidden/>
          </w:rPr>
          <w:tab/>
        </w:r>
        <w:r w:rsidR="00666F12">
          <w:rPr>
            <w:noProof/>
            <w:webHidden/>
          </w:rPr>
          <w:fldChar w:fldCharType="begin"/>
        </w:r>
        <w:r w:rsidR="00666F12">
          <w:rPr>
            <w:noProof/>
            <w:webHidden/>
          </w:rPr>
          <w:instrText xml:space="preserve"> PAGEREF _Toc153441153 \h </w:instrText>
        </w:r>
        <w:r w:rsidR="00666F12">
          <w:rPr>
            <w:noProof/>
            <w:webHidden/>
          </w:rPr>
        </w:r>
        <w:r w:rsidR="00666F12">
          <w:rPr>
            <w:noProof/>
            <w:webHidden/>
          </w:rPr>
          <w:fldChar w:fldCharType="separate"/>
        </w:r>
        <w:r w:rsidR="00FD2D74">
          <w:rPr>
            <w:noProof/>
            <w:webHidden/>
          </w:rPr>
          <w:t>12</w:t>
        </w:r>
        <w:r w:rsidR="00666F12">
          <w:rPr>
            <w:noProof/>
            <w:webHidden/>
          </w:rPr>
          <w:fldChar w:fldCharType="end"/>
        </w:r>
      </w:hyperlink>
    </w:p>
    <w:p w14:paraId="31C372AB" w14:textId="12288FC7" w:rsidR="00666F12" w:rsidRDefault="008F2C1C">
      <w:pPr>
        <w:pStyle w:val="TOC2"/>
        <w:tabs>
          <w:tab w:val="left" w:pos="660"/>
          <w:tab w:val="right" w:leader="dot" w:pos="9060"/>
        </w:tabs>
        <w:rPr>
          <w:rFonts w:eastAsiaTheme="minorEastAsia"/>
          <w:noProof/>
          <w:lang w:eastAsia="hr-HR"/>
        </w:rPr>
      </w:pPr>
      <w:hyperlink w:anchor="_Toc153441154" w:history="1">
        <w:r w:rsidR="00666F12" w:rsidRPr="00F914B9">
          <w:rPr>
            <w:rStyle w:val="Hyperlink"/>
            <w:noProof/>
          </w:rPr>
          <w:t>1.</w:t>
        </w:r>
        <w:r w:rsidR="00666F12">
          <w:rPr>
            <w:rFonts w:eastAsiaTheme="minorEastAsia"/>
            <w:noProof/>
            <w:lang w:eastAsia="hr-HR"/>
          </w:rPr>
          <w:tab/>
        </w:r>
        <w:r w:rsidR="00666F12" w:rsidRPr="00F914B9">
          <w:rPr>
            <w:rStyle w:val="Hyperlink"/>
            <w:noProof/>
          </w:rPr>
          <w:t>Uvod</w:t>
        </w:r>
        <w:r w:rsidR="00666F12">
          <w:rPr>
            <w:noProof/>
            <w:webHidden/>
          </w:rPr>
          <w:tab/>
        </w:r>
        <w:r w:rsidR="00666F12">
          <w:rPr>
            <w:noProof/>
            <w:webHidden/>
          </w:rPr>
          <w:fldChar w:fldCharType="begin"/>
        </w:r>
        <w:r w:rsidR="00666F12">
          <w:rPr>
            <w:noProof/>
            <w:webHidden/>
          </w:rPr>
          <w:instrText xml:space="preserve"> PAGEREF _Toc153441154 \h </w:instrText>
        </w:r>
        <w:r w:rsidR="00666F12">
          <w:rPr>
            <w:noProof/>
            <w:webHidden/>
          </w:rPr>
        </w:r>
        <w:r w:rsidR="00666F12">
          <w:rPr>
            <w:noProof/>
            <w:webHidden/>
          </w:rPr>
          <w:fldChar w:fldCharType="separate"/>
        </w:r>
        <w:r w:rsidR="00FD2D74">
          <w:rPr>
            <w:noProof/>
            <w:webHidden/>
          </w:rPr>
          <w:t>12</w:t>
        </w:r>
        <w:r w:rsidR="00666F12">
          <w:rPr>
            <w:noProof/>
            <w:webHidden/>
          </w:rPr>
          <w:fldChar w:fldCharType="end"/>
        </w:r>
      </w:hyperlink>
    </w:p>
    <w:p w14:paraId="3212E65C" w14:textId="2F32FED1" w:rsidR="00666F12" w:rsidRDefault="008F2C1C">
      <w:pPr>
        <w:pStyle w:val="TOC2"/>
        <w:tabs>
          <w:tab w:val="left" w:pos="660"/>
          <w:tab w:val="right" w:leader="dot" w:pos="9060"/>
        </w:tabs>
        <w:rPr>
          <w:rFonts w:eastAsiaTheme="minorEastAsia"/>
          <w:noProof/>
          <w:lang w:eastAsia="hr-HR"/>
        </w:rPr>
      </w:pPr>
      <w:hyperlink w:anchor="_Toc153441155" w:history="1">
        <w:r w:rsidR="00666F12" w:rsidRPr="00F914B9">
          <w:rPr>
            <w:rStyle w:val="Hyperlink"/>
            <w:noProof/>
          </w:rPr>
          <w:t>2.</w:t>
        </w:r>
        <w:r w:rsidR="00666F12">
          <w:rPr>
            <w:rFonts w:eastAsiaTheme="minorEastAsia"/>
            <w:noProof/>
            <w:lang w:eastAsia="hr-HR"/>
          </w:rPr>
          <w:tab/>
        </w:r>
        <w:r w:rsidR="00666F12" w:rsidRPr="00F914B9">
          <w:rPr>
            <w:rStyle w:val="Hyperlink"/>
            <w:noProof/>
          </w:rPr>
          <w:t>Obrazloženje programa</w:t>
        </w:r>
        <w:r w:rsidR="00666F12">
          <w:rPr>
            <w:noProof/>
            <w:webHidden/>
          </w:rPr>
          <w:tab/>
        </w:r>
        <w:r w:rsidR="00666F12">
          <w:rPr>
            <w:noProof/>
            <w:webHidden/>
          </w:rPr>
          <w:fldChar w:fldCharType="begin"/>
        </w:r>
        <w:r w:rsidR="00666F12">
          <w:rPr>
            <w:noProof/>
            <w:webHidden/>
          </w:rPr>
          <w:instrText xml:space="preserve"> PAGEREF _Toc153441155 \h </w:instrText>
        </w:r>
        <w:r w:rsidR="00666F12">
          <w:rPr>
            <w:noProof/>
            <w:webHidden/>
          </w:rPr>
        </w:r>
        <w:r w:rsidR="00666F12">
          <w:rPr>
            <w:noProof/>
            <w:webHidden/>
          </w:rPr>
          <w:fldChar w:fldCharType="separate"/>
        </w:r>
        <w:r w:rsidR="00FD2D74">
          <w:rPr>
            <w:noProof/>
            <w:webHidden/>
          </w:rPr>
          <w:t>13</w:t>
        </w:r>
        <w:r w:rsidR="00666F12">
          <w:rPr>
            <w:noProof/>
            <w:webHidden/>
          </w:rPr>
          <w:fldChar w:fldCharType="end"/>
        </w:r>
      </w:hyperlink>
    </w:p>
    <w:p w14:paraId="1A1C21E7" w14:textId="3B644933" w:rsidR="00666F12" w:rsidRDefault="008F2C1C">
      <w:pPr>
        <w:pStyle w:val="TOC2"/>
        <w:tabs>
          <w:tab w:val="left" w:pos="660"/>
          <w:tab w:val="right" w:leader="dot" w:pos="9060"/>
        </w:tabs>
        <w:rPr>
          <w:rFonts w:eastAsiaTheme="minorEastAsia"/>
          <w:noProof/>
          <w:lang w:eastAsia="hr-HR"/>
        </w:rPr>
      </w:pPr>
      <w:hyperlink w:anchor="_Toc153441156" w:history="1">
        <w:r w:rsidR="00666F12" w:rsidRPr="00F914B9">
          <w:rPr>
            <w:rStyle w:val="Hyperlink"/>
            <w:noProof/>
          </w:rPr>
          <w:t>3.</w:t>
        </w:r>
        <w:r w:rsidR="00666F12">
          <w:rPr>
            <w:rFonts w:eastAsiaTheme="minorEastAsia"/>
            <w:noProof/>
            <w:lang w:eastAsia="hr-HR"/>
          </w:rPr>
          <w:tab/>
        </w:r>
        <w:r w:rsidR="00666F12" w:rsidRPr="00F914B9">
          <w:rPr>
            <w:rStyle w:val="Hyperlink"/>
            <w:noProof/>
          </w:rPr>
          <w:t>Zakonske i druge pravne osnove na kojima se zasnivaju programi</w:t>
        </w:r>
        <w:r w:rsidR="00666F12">
          <w:rPr>
            <w:noProof/>
            <w:webHidden/>
          </w:rPr>
          <w:tab/>
        </w:r>
        <w:r w:rsidR="00666F12">
          <w:rPr>
            <w:noProof/>
            <w:webHidden/>
          </w:rPr>
          <w:fldChar w:fldCharType="begin"/>
        </w:r>
        <w:r w:rsidR="00666F12">
          <w:rPr>
            <w:noProof/>
            <w:webHidden/>
          </w:rPr>
          <w:instrText xml:space="preserve"> PAGEREF _Toc153441156 \h </w:instrText>
        </w:r>
        <w:r w:rsidR="00666F12">
          <w:rPr>
            <w:noProof/>
            <w:webHidden/>
          </w:rPr>
        </w:r>
        <w:r w:rsidR="00666F12">
          <w:rPr>
            <w:noProof/>
            <w:webHidden/>
          </w:rPr>
          <w:fldChar w:fldCharType="separate"/>
        </w:r>
        <w:r w:rsidR="00FD2D74">
          <w:rPr>
            <w:noProof/>
            <w:webHidden/>
          </w:rPr>
          <w:t>14</w:t>
        </w:r>
        <w:r w:rsidR="00666F12">
          <w:rPr>
            <w:noProof/>
            <w:webHidden/>
          </w:rPr>
          <w:fldChar w:fldCharType="end"/>
        </w:r>
      </w:hyperlink>
    </w:p>
    <w:p w14:paraId="444D6386" w14:textId="1EBDA081" w:rsidR="00666F12" w:rsidRDefault="008F2C1C">
      <w:pPr>
        <w:pStyle w:val="TOC2"/>
        <w:tabs>
          <w:tab w:val="left" w:pos="660"/>
          <w:tab w:val="right" w:leader="dot" w:pos="9060"/>
        </w:tabs>
        <w:rPr>
          <w:rFonts w:eastAsiaTheme="minorEastAsia"/>
          <w:noProof/>
          <w:lang w:eastAsia="hr-HR"/>
        </w:rPr>
      </w:pPr>
      <w:hyperlink w:anchor="_Toc153441157" w:history="1">
        <w:r w:rsidR="00666F12" w:rsidRPr="00F914B9">
          <w:rPr>
            <w:rStyle w:val="Hyperlink"/>
            <w:rFonts w:eastAsia="HelveticaNeueCE-Thin"/>
            <w:noProof/>
          </w:rPr>
          <w:t>4.</w:t>
        </w:r>
        <w:r w:rsidR="00666F12">
          <w:rPr>
            <w:rFonts w:eastAsiaTheme="minorEastAsia"/>
            <w:noProof/>
            <w:lang w:eastAsia="hr-HR"/>
          </w:rPr>
          <w:tab/>
        </w:r>
        <w:r w:rsidR="00666F12" w:rsidRPr="00F914B9">
          <w:rPr>
            <w:rStyle w:val="Hyperlink"/>
            <w:rFonts w:eastAsia="HelveticaNeueCE-Thin"/>
            <w:noProof/>
          </w:rPr>
          <w:t>Usklađeni ciljevi i strategije s programima dugoročnog razvoja</w:t>
        </w:r>
        <w:r w:rsidR="00666F12">
          <w:rPr>
            <w:noProof/>
            <w:webHidden/>
          </w:rPr>
          <w:tab/>
        </w:r>
        <w:r w:rsidR="00666F12">
          <w:rPr>
            <w:noProof/>
            <w:webHidden/>
          </w:rPr>
          <w:fldChar w:fldCharType="begin"/>
        </w:r>
        <w:r w:rsidR="00666F12">
          <w:rPr>
            <w:noProof/>
            <w:webHidden/>
          </w:rPr>
          <w:instrText xml:space="preserve"> PAGEREF _Toc153441157 \h </w:instrText>
        </w:r>
        <w:r w:rsidR="00666F12">
          <w:rPr>
            <w:noProof/>
            <w:webHidden/>
          </w:rPr>
        </w:r>
        <w:r w:rsidR="00666F12">
          <w:rPr>
            <w:noProof/>
            <w:webHidden/>
          </w:rPr>
          <w:fldChar w:fldCharType="separate"/>
        </w:r>
        <w:r w:rsidR="00FD2D74">
          <w:rPr>
            <w:noProof/>
            <w:webHidden/>
          </w:rPr>
          <w:t>15</w:t>
        </w:r>
        <w:r w:rsidR="00666F12">
          <w:rPr>
            <w:noProof/>
            <w:webHidden/>
          </w:rPr>
          <w:fldChar w:fldCharType="end"/>
        </w:r>
      </w:hyperlink>
    </w:p>
    <w:p w14:paraId="67EFE5E4" w14:textId="3B25A9CD" w:rsidR="00666F12" w:rsidRDefault="008F2C1C">
      <w:pPr>
        <w:pStyle w:val="TOC2"/>
        <w:tabs>
          <w:tab w:val="left" w:pos="660"/>
          <w:tab w:val="right" w:leader="dot" w:pos="9060"/>
        </w:tabs>
        <w:rPr>
          <w:rFonts w:eastAsiaTheme="minorEastAsia"/>
          <w:noProof/>
          <w:lang w:eastAsia="hr-HR"/>
        </w:rPr>
      </w:pPr>
      <w:hyperlink w:anchor="_Toc153441158" w:history="1">
        <w:r w:rsidR="00666F12" w:rsidRPr="00F914B9">
          <w:rPr>
            <w:rStyle w:val="Hyperlink"/>
            <w:noProof/>
          </w:rPr>
          <w:t>5.</w:t>
        </w:r>
        <w:r w:rsidR="00666F12">
          <w:rPr>
            <w:rFonts w:eastAsiaTheme="minorEastAsia"/>
            <w:noProof/>
            <w:lang w:eastAsia="hr-HR"/>
          </w:rPr>
          <w:tab/>
        </w:r>
        <w:r w:rsidR="00666F12" w:rsidRPr="00F914B9">
          <w:rPr>
            <w:rStyle w:val="Hyperlink"/>
            <w:noProof/>
          </w:rPr>
          <w:t>Ishodište i pokazatelji na kojima se zasnivaju izračuni i ocjene potrebnih sredstava za provođenje programa</w:t>
        </w:r>
        <w:r w:rsidR="00666F12">
          <w:rPr>
            <w:noProof/>
            <w:webHidden/>
          </w:rPr>
          <w:tab/>
        </w:r>
        <w:r w:rsidR="00666F12">
          <w:rPr>
            <w:noProof/>
            <w:webHidden/>
          </w:rPr>
          <w:fldChar w:fldCharType="begin"/>
        </w:r>
        <w:r w:rsidR="00666F12">
          <w:rPr>
            <w:noProof/>
            <w:webHidden/>
          </w:rPr>
          <w:instrText xml:space="preserve"> PAGEREF _Toc153441158 \h </w:instrText>
        </w:r>
        <w:r w:rsidR="00666F12">
          <w:rPr>
            <w:noProof/>
            <w:webHidden/>
          </w:rPr>
        </w:r>
        <w:r w:rsidR="00666F12">
          <w:rPr>
            <w:noProof/>
            <w:webHidden/>
          </w:rPr>
          <w:fldChar w:fldCharType="separate"/>
        </w:r>
        <w:r w:rsidR="00FD2D74">
          <w:rPr>
            <w:noProof/>
            <w:webHidden/>
          </w:rPr>
          <w:t>16</w:t>
        </w:r>
        <w:r w:rsidR="00666F12">
          <w:rPr>
            <w:noProof/>
            <w:webHidden/>
          </w:rPr>
          <w:fldChar w:fldCharType="end"/>
        </w:r>
      </w:hyperlink>
    </w:p>
    <w:p w14:paraId="79535057" w14:textId="45F2951D" w:rsidR="00666F12" w:rsidRDefault="008F2C1C">
      <w:pPr>
        <w:pStyle w:val="TOC3"/>
        <w:tabs>
          <w:tab w:val="right" w:leader="dot" w:pos="9060"/>
        </w:tabs>
        <w:rPr>
          <w:rFonts w:eastAsiaTheme="minorEastAsia"/>
          <w:noProof/>
          <w:lang w:eastAsia="hr-HR"/>
        </w:rPr>
      </w:pPr>
      <w:hyperlink w:anchor="_Toc153441159" w:history="1">
        <w:r w:rsidR="00666F12" w:rsidRPr="00F914B9">
          <w:rPr>
            <w:rStyle w:val="Hyperlink"/>
            <w:noProof/>
          </w:rPr>
          <w:t>5.1. Prihodi</w:t>
        </w:r>
        <w:r w:rsidR="00666F12">
          <w:rPr>
            <w:noProof/>
            <w:webHidden/>
          </w:rPr>
          <w:tab/>
        </w:r>
        <w:r w:rsidR="00666F12">
          <w:rPr>
            <w:noProof/>
            <w:webHidden/>
          </w:rPr>
          <w:fldChar w:fldCharType="begin"/>
        </w:r>
        <w:r w:rsidR="00666F12">
          <w:rPr>
            <w:noProof/>
            <w:webHidden/>
          </w:rPr>
          <w:instrText xml:space="preserve"> PAGEREF _Toc153441159 \h </w:instrText>
        </w:r>
        <w:r w:rsidR="00666F12">
          <w:rPr>
            <w:noProof/>
            <w:webHidden/>
          </w:rPr>
        </w:r>
        <w:r w:rsidR="00666F12">
          <w:rPr>
            <w:noProof/>
            <w:webHidden/>
          </w:rPr>
          <w:fldChar w:fldCharType="separate"/>
        </w:r>
        <w:r w:rsidR="00FD2D74">
          <w:rPr>
            <w:noProof/>
            <w:webHidden/>
          </w:rPr>
          <w:t>16</w:t>
        </w:r>
        <w:r w:rsidR="00666F12">
          <w:rPr>
            <w:noProof/>
            <w:webHidden/>
          </w:rPr>
          <w:fldChar w:fldCharType="end"/>
        </w:r>
      </w:hyperlink>
    </w:p>
    <w:p w14:paraId="0C3E04C2" w14:textId="2EC7FE52" w:rsidR="00666F12" w:rsidRDefault="008F2C1C">
      <w:pPr>
        <w:pStyle w:val="TOC2"/>
        <w:tabs>
          <w:tab w:val="right" w:leader="dot" w:pos="9060"/>
        </w:tabs>
        <w:rPr>
          <w:rFonts w:eastAsiaTheme="minorEastAsia"/>
          <w:noProof/>
          <w:lang w:eastAsia="hr-HR"/>
        </w:rPr>
      </w:pPr>
      <w:hyperlink w:anchor="_Toc153441160" w:history="1">
        <w:r w:rsidR="00666F12" w:rsidRPr="00F914B9">
          <w:rPr>
            <w:rStyle w:val="Hyperlink"/>
            <w:noProof/>
          </w:rPr>
          <w:t>5.2. Rashodi</w:t>
        </w:r>
        <w:r w:rsidR="00666F12">
          <w:rPr>
            <w:noProof/>
            <w:webHidden/>
          </w:rPr>
          <w:tab/>
        </w:r>
        <w:r w:rsidR="00666F12">
          <w:rPr>
            <w:noProof/>
            <w:webHidden/>
          </w:rPr>
          <w:fldChar w:fldCharType="begin"/>
        </w:r>
        <w:r w:rsidR="00666F12">
          <w:rPr>
            <w:noProof/>
            <w:webHidden/>
          </w:rPr>
          <w:instrText xml:space="preserve"> PAGEREF _Toc153441160 \h </w:instrText>
        </w:r>
        <w:r w:rsidR="00666F12">
          <w:rPr>
            <w:noProof/>
            <w:webHidden/>
          </w:rPr>
        </w:r>
        <w:r w:rsidR="00666F12">
          <w:rPr>
            <w:noProof/>
            <w:webHidden/>
          </w:rPr>
          <w:fldChar w:fldCharType="separate"/>
        </w:r>
        <w:r w:rsidR="00FD2D74">
          <w:rPr>
            <w:noProof/>
            <w:webHidden/>
          </w:rPr>
          <w:t>17</w:t>
        </w:r>
        <w:r w:rsidR="00666F12">
          <w:rPr>
            <w:noProof/>
            <w:webHidden/>
          </w:rPr>
          <w:fldChar w:fldCharType="end"/>
        </w:r>
      </w:hyperlink>
    </w:p>
    <w:p w14:paraId="4249305D" w14:textId="105BAA4E" w:rsidR="00666F12" w:rsidRDefault="008F2C1C">
      <w:pPr>
        <w:pStyle w:val="TOC3"/>
        <w:tabs>
          <w:tab w:val="right" w:leader="dot" w:pos="9060"/>
        </w:tabs>
        <w:rPr>
          <w:rFonts w:eastAsiaTheme="minorEastAsia"/>
          <w:noProof/>
          <w:lang w:eastAsia="hr-HR"/>
        </w:rPr>
      </w:pPr>
      <w:hyperlink w:anchor="_Toc153441161" w:history="1">
        <w:r w:rsidR="00666F12" w:rsidRPr="00F914B9">
          <w:rPr>
            <w:rStyle w:val="Hyperlink"/>
            <w:noProof/>
          </w:rPr>
          <w:t>5.2.1. Rashodi poslovanja</w:t>
        </w:r>
        <w:r w:rsidR="00666F12">
          <w:rPr>
            <w:noProof/>
            <w:webHidden/>
          </w:rPr>
          <w:tab/>
        </w:r>
        <w:r w:rsidR="00666F12">
          <w:rPr>
            <w:noProof/>
            <w:webHidden/>
          </w:rPr>
          <w:fldChar w:fldCharType="begin"/>
        </w:r>
        <w:r w:rsidR="00666F12">
          <w:rPr>
            <w:noProof/>
            <w:webHidden/>
          </w:rPr>
          <w:instrText xml:space="preserve"> PAGEREF _Toc153441161 \h </w:instrText>
        </w:r>
        <w:r w:rsidR="00666F12">
          <w:rPr>
            <w:noProof/>
            <w:webHidden/>
          </w:rPr>
        </w:r>
        <w:r w:rsidR="00666F12">
          <w:rPr>
            <w:noProof/>
            <w:webHidden/>
          </w:rPr>
          <w:fldChar w:fldCharType="separate"/>
        </w:r>
        <w:r w:rsidR="00FD2D74">
          <w:rPr>
            <w:noProof/>
            <w:webHidden/>
          </w:rPr>
          <w:t>17</w:t>
        </w:r>
        <w:r w:rsidR="00666F12">
          <w:rPr>
            <w:noProof/>
            <w:webHidden/>
          </w:rPr>
          <w:fldChar w:fldCharType="end"/>
        </w:r>
      </w:hyperlink>
    </w:p>
    <w:p w14:paraId="720B8C6E" w14:textId="62811741" w:rsidR="009624D6" w:rsidRDefault="002016D4">
      <w:pPr>
        <w:rPr>
          <w:lang w:eastAsia="hr-HR"/>
        </w:rPr>
        <w:sectPr w:rsidR="009624D6"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lang w:eastAsia="hr-HR"/>
        </w:rPr>
        <w:fldChar w:fldCharType="end"/>
      </w:r>
    </w:p>
    <w:p w14:paraId="0EA69C64" w14:textId="424141A4" w:rsidR="0095373C" w:rsidRDefault="0095373C" w:rsidP="0095373C">
      <w:pPr>
        <w:pStyle w:val="Heading1"/>
      </w:pPr>
      <w:bookmarkStart w:id="0" w:name="_Toc495930794"/>
      <w:bookmarkStart w:id="1" w:name="_Toc495932291"/>
      <w:bookmarkStart w:id="2" w:name="_Toc150255889"/>
      <w:bookmarkStart w:id="3" w:name="_Toc153441146"/>
      <w:r>
        <w:lastRenderedPageBreak/>
        <w:t xml:space="preserve">Opći dio </w:t>
      </w:r>
      <w:r w:rsidR="00024006">
        <w:t>I</w:t>
      </w:r>
      <w:r w:rsidR="00941765">
        <w:t>.</w:t>
      </w:r>
      <w:r w:rsidR="00024006">
        <w:t xml:space="preserve"> Izmjena i dopuna </w:t>
      </w:r>
      <w:r>
        <w:t>Financijskog plana Javne ustanove „Nacionalni park Krka“</w:t>
      </w:r>
      <w:bookmarkEnd w:id="0"/>
      <w:bookmarkEnd w:id="1"/>
      <w:r>
        <w:t xml:space="preserve"> </w:t>
      </w:r>
      <w:bookmarkStart w:id="4" w:name="_Toc495930795"/>
      <w:bookmarkStart w:id="5" w:name="_Toc495932292"/>
      <w:r>
        <w:t>2024. – 2026. godin</w:t>
      </w:r>
      <w:bookmarkEnd w:id="4"/>
      <w:bookmarkEnd w:id="5"/>
      <w:r>
        <w:t>e</w:t>
      </w:r>
      <w:bookmarkEnd w:id="2"/>
      <w:bookmarkEnd w:id="3"/>
    </w:p>
    <w:p w14:paraId="28CA6FBD" w14:textId="77777777" w:rsidR="0095373C" w:rsidRDefault="0095373C" w:rsidP="0095373C">
      <w:pPr>
        <w:rPr>
          <w:lang w:eastAsia="hr-HR"/>
        </w:rPr>
      </w:pPr>
    </w:p>
    <w:p w14:paraId="792D5D1B" w14:textId="23B896D9" w:rsidR="0095373C" w:rsidRDefault="007F29BA" w:rsidP="0095373C">
      <w:pPr>
        <w:pStyle w:val="Heading2"/>
      </w:pPr>
      <w:bookmarkStart w:id="6" w:name="_Toc150255890"/>
      <w:bookmarkStart w:id="7" w:name="_Toc153441147"/>
      <w:r>
        <w:t>Opći dio</w:t>
      </w:r>
      <w:bookmarkEnd w:id="6"/>
      <w:bookmarkEnd w:id="7"/>
      <w:r w:rsidR="0095373C">
        <w:t xml:space="preserve">  </w:t>
      </w:r>
    </w:p>
    <w:tbl>
      <w:tblPr>
        <w:tblW w:w="13200" w:type="dxa"/>
        <w:tblLook w:val="04A0" w:firstRow="1" w:lastRow="0" w:firstColumn="1" w:lastColumn="0" w:noHBand="0" w:noVBand="1"/>
      </w:tblPr>
      <w:tblGrid>
        <w:gridCol w:w="1068"/>
        <w:gridCol w:w="1031"/>
        <w:gridCol w:w="1049"/>
        <w:gridCol w:w="1022"/>
        <w:gridCol w:w="806"/>
        <w:gridCol w:w="1417"/>
        <w:gridCol w:w="1283"/>
        <w:gridCol w:w="1360"/>
        <w:gridCol w:w="1391"/>
        <w:gridCol w:w="1495"/>
        <w:gridCol w:w="1495"/>
      </w:tblGrid>
      <w:tr w:rsidR="007F29BA" w:rsidRPr="007F29BA" w14:paraId="6FF700BF" w14:textId="77777777" w:rsidTr="007F29BA">
        <w:trPr>
          <w:trHeight w:val="360"/>
        </w:trPr>
        <w:tc>
          <w:tcPr>
            <w:tcW w:w="13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79D36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A. SAŽETAK RAČUNA PRIHODA I RASHODA</w:t>
            </w:r>
          </w:p>
        </w:tc>
      </w:tr>
      <w:tr w:rsidR="007F29BA" w:rsidRPr="007F29BA" w14:paraId="6192B715" w14:textId="77777777" w:rsidTr="007F29BA">
        <w:trPr>
          <w:trHeight w:val="36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4A14F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D52B3" w14:textId="77777777" w:rsidR="007F29BA" w:rsidRPr="007F29BA" w:rsidRDefault="007F29BA" w:rsidP="007F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A98BB" w14:textId="77777777" w:rsidR="007F29BA" w:rsidRPr="007F29BA" w:rsidRDefault="007F29BA" w:rsidP="007F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239F0" w14:textId="77777777" w:rsidR="007F29BA" w:rsidRPr="007F29BA" w:rsidRDefault="007F29BA" w:rsidP="007F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59DB5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FE36D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488B0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CBBB5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9CB38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61396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A3F1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F29BA" w:rsidRPr="007F29BA" w14:paraId="641CB506" w14:textId="77777777" w:rsidTr="007F29BA">
        <w:trPr>
          <w:trHeight w:val="780"/>
        </w:trPr>
        <w:tc>
          <w:tcPr>
            <w:tcW w:w="4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69225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7666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028B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6005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6B45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 IZMJENE I DOPUNE PLANA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0C88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AEC5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</w:tr>
      <w:tr w:rsidR="007F29BA" w:rsidRPr="007F29BA" w14:paraId="345F4984" w14:textId="77777777" w:rsidTr="007F29BA">
        <w:trPr>
          <w:trHeight w:val="240"/>
        </w:trPr>
        <w:tc>
          <w:tcPr>
            <w:tcW w:w="4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91E1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3164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9C34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A2651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F0CE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E096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947C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7F29BA" w:rsidRPr="007F29BA" w14:paraId="676B1120" w14:textId="77777777" w:rsidTr="007F29BA">
        <w:trPr>
          <w:trHeight w:val="290"/>
        </w:trPr>
        <w:tc>
          <w:tcPr>
            <w:tcW w:w="4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41928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E2F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18.492.471 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992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20.495.971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90A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20.164.426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8A4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20.793.345 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61F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21.260.027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25F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22.155.000   </w:t>
            </w:r>
          </w:p>
        </w:tc>
      </w:tr>
      <w:tr w:rsidR="007F29BA" w:rsidRPr="007F29BA" w14:paraId="70A5FAC9" w14:textId="77777777" w:rsidTr="007F29BA">
        <w:trPr>
          <w:trHeight w:val="290"/>
        </w:trPr>
        <w:tc>
          <w:tcPr>
            <w:tcW w:w="4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CF2C3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D92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0 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EE2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5751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A65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A20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11D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</w:tr>
      <w:tr w:rsidR="007F29BA" w:rsidRPr="007F29BA" w14:paraId="509585B6" w14:textId="77777777" w:rsidTr="007F29BA">
        <w:trPr>
          <w:trHeight w:val="290"/>
        </w:trPr>
        <w:tc>
          <w:tcPr>
            <w:tcW w:w="4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A92F75E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289ED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18.492.471 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62D28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20.495.971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33943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20.164.426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CA79B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20.793.345 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AB689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21.260.027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D9762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22.155.000   </w:t>
            </w:r>
          </w:p>
        </w:tc>
      </w:tr>
      <w:tr w:rsidR="007F29BA" w:rsidRPr="007F29BA" w14:paraId="3B40C833" w14:textId="77777777" w:rsidTr="007F29BA">
        <w:trPr>
          <w:trHeight w:val="290"/>
        </w:trPr>
        <w:tc>
          <w:tcPr>
            <w:tcW w:w="4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77A07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090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12.385.466 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2B0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16.337.934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C0E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16.775.000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E55D" w14:textId="6CA2F6BA" w:rsidR="007F29BA" w:rsidRPr="007F29BA" w:rsidRDefault="00DD340F" w:rsidP="003F3E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3F3E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.775.000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1381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17.797.000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F2D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18.397.000   </w:t>
            </w:r>
          </w:p>
        </w:tc>
      </w:tr>
      <w:tr w:rsidR="007F29BA" w:rsidRPr="007F29BA" w14:paraId="00356481" w14:textId="77777777" w:rsidTr="007F29BA">
        <w:trPr>
          <w:trHeight w:val="290"/>
        </w:trPr>
        <w:tc>
          <w:tcPr>
            <w:tcW w:w="4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D240B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99D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3.661.814 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401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3.914.482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B52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3.165.000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5F0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3.655.000 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67E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2.975.000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E2A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3.035.000   </w:t>
            </w:r>
          </w:p>
        </w:tc>
      </w:tr>
      <w:tr w:rsidR="007F29BA" w:rsidRPr="007F29BA" w14:paraId="1C2CD5CF" w14:textId="77777777" w:rsidTr="007F29BA">
        <w:trPr>
          <w:trHeight w:val="290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B5D61E3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880FDB5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791F27B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5101778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615F0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16.047.280 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87D3A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20.252.416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CEAEE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19.940.000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182DC7" w14:textId="68F1618B" w:rsidR="007F29BA" w:rsidRPr="007F29BA" w:rsidRDefault="007F29BA" w:rsidP="00DD34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DD34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DD34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30.000 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A11A0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20.772.000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70B71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21.432.000   </w:t>
            </w:r>
          </w:p>
        </w:tc>
      </w:tr>
      <w:tr w:rsidR="007F29BA" w:rsidRPr="007F29BA" w14:paraId="4B6B4572" w14:textId="77777777" w:rsidTr="007F29BA">
        <w:trPr>
          <w:trHeight w:val="290"/>
        </w:trPr>
        <w:tc>
          <w:tcPr>
            <w:tcW w:w="4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F13219D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FD85D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2.445.191 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03471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243.555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CC197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224.426  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FA0D0E" w14:textId="22B6D9E0" w:rsidR="007F29BA" w:rsidRPr="007F29BA" w:rsidRDefault="007F29BA" w:rsidP="00DD34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  <w:r w:rsidR="00DD3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 w:rsidR="00DD34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36.655 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D37A3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488.027 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05AA8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723.000   </w:t>
            </w:r>
          </w:p>
        </w:tc>
      </w:tr>
    </w:tbl>
    <w:p w14:paraId="1A337734" w14:textId="2D7AB7D7" w:rsidR="0095373C" w:rsidRDefault="0095373C" w:rsidP="0095373C">
      <w:pPr>
        <w:rPr>
          <w:lang w:eastAsia="hr-HR"/>
        </w:rPr>
      </w:pPr>
    </w:p>
    <w:tbl>
      <w:tblPr>
        <w:tblW w:w="13200" w:type="dxa"/>
        <w:tblLook w:val="04A0" w:firstRow="1" w:lastRow="0" w:firstColumn="1" w:lastColumn="0" w:noHBand="0" w:noVBand="1"/>
      </w:tblPr>
      <w:tblGrid>
        <w:gridCol w:w="926"/>
        <w:gridCol w:w="924"/>
        <w:gridCol w:w="923"/>
        <w:gridCol w:w="922"/>
        <w:gridCol w:w="695"/>
        <w:gridCol w:w="1500"/>
        <w:gridCol w:w="1360"/>
        <w:gridCol w:w="1460"/>
        <w:gridCol w:w="1500"/>
        <w:gridCol w:w="1495"/>
        <w:gridCol w:w="1495"/>
      </w:tblGrid>
      <w:tr w:rsidR="007F29BA" w:rsidRPr="007F29BA" w14:paraId="31A9805E" w14:textId="77777777" w:rsidTr="007F29BA">
        <w:trPr>
          <w:trHeight w:val="360"/>
        </w:trPr>
        <w:tc>
          <w:tcPr>
            <w:tcW w:w="13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9F85B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B. SAŽETAK RAČUNA FINANCIRANJA</w:t>
            </w:r>
          </w:p>
        </w:tc>
      </w:tr>
      <w:tr w:rsidR="007F29BA" w:rsidRPr="007F29BA" w14:paraId="221B58AE" w14:textId="77777777" w:rsidTr="007F29B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E70A9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4ED6C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FC89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E55D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41991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5C863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5496B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6457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289B" w14:textId="77777777" w:rsidR="007F29BA" w:rsidRPr="007F29BA" w:rsidRDefault="007F29BA" w:rsidP="007F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BBB2" w14:textId="77777777" w:rsidR="007F29BA" w:rsidRPr="007F29BA" w:rsidRDefault="007F29BA" w:rsidP="007F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5907" w14:textId="77777777" w:rsidR="007F29BA" w:rsidRPr="007F29BA" w:rsidRDefault="007F29BA" w:rsidP="007F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F29BA" w:rsidRPr="007F29BA" w14:paraId="2A5A21DB" w14:textId="77777777" w:rsidTr="007F29BA">
        <w:trPr>
          <w:trHeight w:val="780"/>
        </w:trPr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5DDDC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01CF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4794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C963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C5E3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 IZMJENE I DOPUNE PLANA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7706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E7B1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</w:tr>
      <w:tr w:rsidR="007F29BA" w:rsidRPr="007F29BA" w14:paraId="4BCBCB89" w14:textId="77777777" w:rsidTr="007F29BA">
        <w:trPr>
          <w:trHeight w:val="240"/>
        </w:trPr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9D02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3663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3394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96C6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F3E2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09A7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42BA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7F29BA" w:rsidRPr="007F29BA" w14:paraId="7EF0E948" w14:textId="77777777" w:rsidTr="007F29BA">
        <w:trPr>
          <w:trHeight w:val="315"/>
        </w:trPr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C2B3F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FFF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0FD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3B71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287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D22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8D6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</w:tr>
      <w:tr w:rsidR="007F29BA" w:rsidRPr="007F29BA" w14:paraId="1697A703" w14:textId="77777777" w:rsidTr="007F29BA">
        <w:trPr>
          <w:trHeight w:val="290"/>
        </w:trPr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25DD2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4C6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FDA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42B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1A8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9CA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1E5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</w:tr>
      <w:tr w:rsidR="007F29BA" w:rsidRPr="007F29BA" w14:paraId="1C83FD4D" w14:textId="77777777" w:rsidTr="007F29BA">
        <w:trPr>
          <w:trHeight w:val="290"/>
        </w:trPr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2EECDAB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RAZLIKA PRIMITAKA I IZDATAKA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55001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F0A26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9350E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92FDE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22DD1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89476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</w:tr>
      <w:tr w:rsidR="007F29BA" w:rsidRPr="007F29BA" w14:paraId="60C4409D" w14:textId="77777777" w:rsidTr="007F29BA">
        <w:trPr>
          <w:trHeight w:val="290"/>
        </w:trPr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993B22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PRIJENOS SREDSTAVA IZ PRETHODNE GODINE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37C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6.184.999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CDF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8.630.190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4BC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8.873.745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296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13.125.987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23A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9.098.171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641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9.586.198   </w:t>
            </w:r>
          </w:p>
        </w:tc>
      </w:tr>
      <w:tr w:rsidR="007F29BA" w:rsidRPr="007F29BA" w14:paraId="5F2D688A" w14:textId="77777777" w:rsidTr="007F29BA">
        <w:trPr>
          <w:trHeight w:val="290"/>
        </w:trPr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EFBAF3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PRIJENOS SREDSTAVA U SLJEDEĆE RAZDOBLJE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D60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-8.630.190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2EB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-8.873.745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669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-9.098.171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69DB" w14:textId="3951EA3E" w:rsidR="007F29BA" w:rsidRPr="007F29BA" w:rsidRDefault="00DD340F" w:rsidP="00DD34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</w:t>
            </w:r>
            <w:r w:rsidR="007F29BA"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489.332</w:t>
            </w:r>
            <w:r w:rsidR="007F29BA"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C1B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-9.586.198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441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-10.309.198   </w:t>
            </w:r>
          </w:p>
        </w:tc>
      </w:tr>
      <w:tr w:rsidR="007F29BA" w:rsidRPr="007F29BA" w14:paraId="63727FF8" w14:textId="77777777" w:rsidTr="007F29BA">
        <w:trPr>
          <w:trHeight w:val="290"/>
        </w:trPr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C105597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B06B6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-2.445.191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163241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-243.555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92B28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-224.426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D84A8D" w14:textId="693B28C7" w:rsidR="007F29BA" w:rsidRPr="007F29BA" w:rsidRDefault="00DD340F" w:rsidP="00DD34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7F29BA"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="007F29BA"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36.655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B0C4B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-488.027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774A8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-723.000   </w:t>
            </w:r>
          </w:p>
        </w:tc>
      </w:tr>
      <w:tr w:rsidR="007F29BA" w:rsidRPr="007F29BA" w14:paraId="129A914C" w14:textId="77777777" w:rsidTr="007F29BA">
        <w:trPr>
          <w:trHeight w:val="290"/>
        </w:trPr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AA43B04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 / MANJAK + NETO FINANCIRANJE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78CDD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7D6C3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ADAC9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C3B7B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6B8F4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640ED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</w:tr>
    </w:tbl>
    <w:p w14:paraId="57EB7F75" w14:textId="17843D38" w:rsidR="0095373C" w:rsidRDefault="0095373C" w:rsidP="0095373C">
      <w:pPr>
        <w:rPr>
          <w:lang w:eastAsia="hr-HR"/>
        </w:rPr>
      </w:pPr>
    </w:p>
    <w:p w14:paraId="472D3A13" w14:textId="77777777" w:rsidR="0095373C" w:rsidRPr="002C03D1" w:rsidRDefault="0095373C" w:rsidP="0095373C">
      <w:pPr>
        <w:rPr>
          <w:lang w:eastAsia="hr-HR"/>
        </w:rPr>
      </w:pPr>
    </w:p>
    <w:p w14:paraId="4370B685" w14:textId="77777777" w:rsidR="0095373C" w:rsidRDefault="0095373C" w:rsidP="0095373C">
      <w:pPr>
        <w:pStyle w:val="Heading2"/>
      </w:pPr>
      <w:bookmarkStart w:id="8" w:name="_Toc495932294"/>
      <w:bookmarkStart w:id="9" w:name="_Toc495930797"/>
      <w:bookmarkStart w:id="10" w:name="_Toc150255893"/>
      <w:bookmarkStart w:id="11" w:name="_Toc153441148"/>
      <w:r>
        <w:t>Račun prihoda i rashoda</w:t>
      </w:r>
      <w:bookmarkEnd w:id="8"/>
      <w:bookmarkEnd w:id="9"/>
      <w:bookmarkEnd w:id="10"/>
      <w:bookmarkEnd w:id="11"/>
    </w:p>
    <w:p w14:paraId="2DB54498" w14:textId="1D0D3DF4" w:rsidR="0095373C" w:rsidRDefault="0095373C" w:rsidP="0095373C">
      <w:pPr>
        <w:pStyle w:val="Heading2"/>
        <w:numPr>
          <w:ilvl w:val="0"/>
          <w:numId w:val="0"/>
        </w:numPr>
        <w:ind w:left="1776"/>
      </w:pPr>
      <w:bookmarkStart w:id="12" w:name="_Toc150255896"/>
    </w:p>
    <w:tbl>
      <w:tblPr>
        <w:tblW w:w="13180" w:type="dxa"/>
        <w:tblLook w:val="04A0" w:firstRow="1" w:lastRow="0" w:firstColumn="1" w:lastColumn="0" w:noHBand="0" w:noVBand="1"/>
      </w:tblPr>
      <w:tblGrid>
        <w:gridCol w:w="360"/>
        <w:gridCol w:w="700"/>
        <w:gridCol w:w="3980"/>
        <w:gridCol w:w="1380"/>
        <w:gridCol w:w="1220"/>
        <w:gridCol w:w="1300"/>
        <w:gridCol w:w="1500"/>
        <w:gridCol w:w="1495"/>
        <w:gridCol w:w="1495"/>
      </w:tblGrid>
      <w:tr w:rsidR="007F29BA" w:rsidRPr="007F29BA" w14:paraId="6F65FF4E" w14:textId="77777777" w:rsidTr="007F29BA">
        <w:trPr>
          <w:trHeight w:val="310"/>
        </w:trPr>
        <w:tc>
          <w:tcPr>
            <w:tcW w:w="13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20C13" w14:textId="2ADF1C95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PRIHODI I RASHODI PREMA EKONOMSKOJ KLASIFIKACIJI</w:t>
            </w:r>
          </w:p>
        </w:tc>
      </w:tr>
      <w:tr w:rsidR="007F29BA" w:rsidRPr="007F29BA" w14:paraId="668ECB98" w14:textId="77777777" w:rsidTr="007F29BA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03B56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13094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16B8B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77BCD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54C2C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838FB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EDEE8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A4F83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91747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F29BA" w:rsidRPr="007F29BA" w14:paraId="53D7817C" w14:textId="77777777" w:rsidTr="007F29BA">
        <w:trPr>
          <w:trHeight w:val="78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F256708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EE4518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DD837B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09F6C0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4C0142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 IZMJENE I DOPUNE PLANA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D93531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DA6814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</w:tr>
      <w:tr w:rsidR="007F29BA" w:rsidRPr="007F29BA" w14:paraId="36D60FB9" w14:textId="77777777" w:rsidTr="007F29BA">
        <w:trPr>
          <w:trHeight w:val="21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D8F510F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256C36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B54390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EDAD07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13A47B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99F2B3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00AC12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7F29BA" w:rsidRPr="007F29BA" w14:paraId="56A0E039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F63C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4752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E15D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9F0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18.492.471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C8FA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20.495.971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38D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20.164.426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FED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20.793.345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D99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21.260.027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4AA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22.155.000</w:t>
            </w:r>
          </w:p>
        </w:tc>
      </w:tr>
      <w:tr w:rsidR="007F29BA" w:rsidRPr="007F29BA" w14:paraId="0FB42A9A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6CD76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1C9C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4025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C37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18.492.471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BF8B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20.495.971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12C5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20.164.426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EF7B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20.793.345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2402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21.260.027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52BF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22.155.000</w:t>
            </w:r>
          </w:p>
        </w:tc>
      </w:tr>
      <w:tr w:rsidR="007F29BA" w:rsidRPr="007F29BA" w14:paraId="21A6F017" w14:textId="77777777" w:rsidTr="007F29BA">
        <w:trPr>
          <w:trHeight w:val="5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0C33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7B81F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AF74ED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 Pomoći iz inozemstva (darovnice) i od subjekata unutar općeg proračuna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5EB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1.848.546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FA2A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1.537.019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F59B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252.426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105F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876.345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F8C3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2AA2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10AAD809" w14:textId="77777777" w:rsidTr="007F29BA">
        <w:trPr>
          <w:trHeight w:val="5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56C3D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61763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6323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5BDF6C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6323 Tekuće pomoći od institucija i tijela EU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FD6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77.734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39FE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AFC3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AE84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105.231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ECAC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546D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4A9F5455" w14:textId="77777777" w:rsidTr="007F29BA">
        <w:trPr>
          <w:trHeight w:val="6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E7A69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AB6E7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6324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E7B4EE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6324 Kapitalne pomoći od institucija i tijela EU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CF5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1.660.599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36EB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1.302.019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B0CB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4999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4CAB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0887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04963843" w14:textId="77777777" w:rsidTr="007F29BA">
        <w:trPr>
          <w:trHeight w:val="5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30F54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FEA2D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677FF6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6341 Tekuće pomoći od ostalih subjekata unutar općeg proračuna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E26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28.769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D46D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3179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C0CB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17A3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960D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71EED329" w14:textId="77777777" w:rsidTr="007F29BA">
        <w:trPr>
          <w:trHeight w:val="5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90F86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54F77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563C29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6342 Kapitalne pomoći od ostalih subjekata unutar općeg proračuna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9FA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81.444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F8A5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AAF6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8CC8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C22E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3BE0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6F6F589E" w14:textId="77777777" w:rsidTr="007F29BA">
        <w:trPr>
          <w:trHeight w:val="10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7AEF2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F7F35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6391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7019DB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6391 Tekući prijenosi između proračunskih korisnika istog proračuna Kapitalne pomoći od ostalih subjekata unutar općeg proračuna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94F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AA5B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5026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41.064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8F7F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54.752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E79F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54.752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965B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7D302E75" w14:textId="77777777" w:rsidTr="007F29BA">
        <w:trPr>
          <w:trHeight w:val="10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7A860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331D5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6393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CB92BE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6393 Tekući prijenosi između proračunskih korisnika istog proračuna Kapitalne pomoći od ostalih subjekata unutar općeg proračuna temeljem prijenosa EU sredstava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5F1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2981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1081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211.362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11A0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211.362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F4731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115.275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B10C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34A103FA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3423A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09180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9A9A96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 Prihodi od imovine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6A7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28.146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57E4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AC5C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26EE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4BD2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94DF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</w:t>
            </w:r>
          </w:p>
        </w:tc>
      </w:tr>
      <w:tr w:rsidR="007F29BA" w:rsidRPr="007F29BA" w14:paraId="5176307E" w14:textId="77777777" w:rsidTr="007F29BA">
        <w:trPr>
          <w:trHeight w:val="5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2626B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6591E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35C137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6413 Kamate na oročena sredstva i depozite po viđenju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5BB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50AF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26.545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37CC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5C0B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F2D2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3468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</w:tr>
      <w:tr w:rsidR="007F29BA" w:rsidRPr="007F29BA" w14:paraId="3411410B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F29A1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CCB2C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EB2DFA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6414 Prihodi od zateznih kamata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A53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28.106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2F1B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F200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C181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4EDA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D8AC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</w:tr>
      <w:tr w:rsidR="007F29BA" w:rsidRPr="007F29BA" w14:paraId="7A1B6E37" w14:textId="77777777" w:rsidTr="007F29BA">
        <w:trPr>
          <w:trHeight w:val="5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9138C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F9F74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44E474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6415 Prihodi od pozitivnih tečajnih razlika i razlika zbog primjene valutne klauzule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22A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6A1A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466B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A5F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DD27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1281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7F29BA" w:rsidRPr="007F29BA" w14:paraId="138D66F1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02400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1DCC1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78EC044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dividendi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B69D" w14:textId="77777777" w:rsidR="007F29BA" w:rsidRPr="007F29BA" w:rsidRDefault="007F29BA" w:rsidP="007F2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46A91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92C1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D727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CAEE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E707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F29BA" w:rsidRPr="007F29BA" w14:paraId="779CE0DC" w14:textId="77777777" w:rsidTr="007F29BA">
        <w:trPr>
          <w:trHeight w:val="7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2D9A2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3EA88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590C3E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802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16.036.344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BA1D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18.052.956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CC13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19.003.000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D74C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19.003.000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6FF8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54E6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21.005.000</w:t>
            </w:r>
          </w:p>
        </w:tc>
      </w:tr>
      <w:tr w:rsidR="007F29BA" w:rsidRPr="007F29BA" w14:paraId="0FBDF702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B6144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F4598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9DB487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6526 Ostali nespomenuti prihodi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96D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16.036.344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F141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18.052.956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3A47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19.003.000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8E30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19.003.000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9C10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E382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21.005.000</w:t>
            </w:r>
          </w:p>
        </w:tc>
      </w:tr>
      <w:tr w:rsidR="007F29BA" w:rsidRPr="007F29BA" w14:paraId="091587E6" w14:textId="77777777" w:rsidTr="007F29BA">
        <w:trPr>
          <w:trHeight w:val="7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9C758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1369D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38EEFD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447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505.722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05A1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C8AB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2FD21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5A29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C7A1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</w:t>
            </w:r>
          </w:p>
        </w:tc>
      </w:tr>
      <w:tr w:rsidR="007F29BA" w:rsidRPr="007F29BA" w14:paraId="6E8B0D7F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B4279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1CD1C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268B02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6614 Prihodi od prodaje proizvoda i robe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8B6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120.916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44A7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A3CE1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E68A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2354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381E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350.000</w:t>
            </w:r>
          </w:p>
        </w:tc>
      </w:tr>
      <w:tr w:rsidR="007F29BA" w:rsidRPr="007F29BA" w14:paraId="7256C5A4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1C323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F53F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88626F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6615 Prihodi od pruženih usluga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E90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384.805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DA8C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0F3A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0E06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EB8B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1661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650.000</w:t>
            </w:r>
          </w:p>
        </w:tc>
      </w:tr>
      <w:tr w:rsidR="007F29BA" w:rsidRPr="007F29BA" w14:paraId="1AFF3206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90863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36F57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035158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6631 Tekuće donacije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76A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8F52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0D49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9A53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4E7F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370E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F29BA" w:rsidRPr="007F29BA" w14:paraId="65B2613F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EDD6E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1A937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F57E2B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 Kazne, upravne mjere i ostali prihodi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13A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73.713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C09C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05F5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6D8C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76FB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65B8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</w:t>
            </w:r>
          </w:p>
        </w:tc>
      </w:tr>
      <w:tr w:rsidR="007F29BA" w:rsidRPr="007F29BA" w14:paraId="703F0860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99CDC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357C6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6831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71B1515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6831 Ostali prihodi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8B6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73.713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5319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79.634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CE7D1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614F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F31F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D338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</w:t>
            </w:r>
          </w:p>
        </w:tc>
      </w:tr>
      <w:tr w:rsidR="007F29BA" w:rsidRPr="007F29BA" w14:paraId="5BA1FD05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14383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7BD27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203C5D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824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B4E2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26FB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4536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0C92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08C4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6380337E" w14:textId="77777777" w:rsidTr="007F29BA">
        <w:trPr>
          <w:trHeight w:val="5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48D5E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051AC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2A1D83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DEE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5A26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5020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B4C2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5B2B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5C69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119893C4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622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7C44" w14:textId="77777777" w:rsidR="007F29BA" w:rsidRPr="007F29BA" w:rsidRDefault="007F29BA" w:rsidP="007F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E71E" w14:textId="77777777" w:rsidR="007F29BA" w:rsidRPr="007F29BA" w:rsidRDefault="007F29BA" w:rsidP="007F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1609" w14:textId="77777777" w:rsidR="007F29BA" w:rsidRPr="007F29BA" w:rsidRDefault="007F29BA" w:rsidP="007F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2139" w14:textId="77777777" w:rsidR="007F29BA" w:rsidRPr="007F29BA" w:rsidRDefault="007F29BA" w:rsidP="007F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6C43" w14:textId="77777777" w:rsidR="007F29BA" w:rsidRPr="007F29BA" w:rsidRDefault="007F29BA" w:rsidP="007F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170A" w14:textId="77777777" w:rsidR="007F29BA" w:rsidRPr="007F29BA" w:rsidRDefault="007F29BA" w:rsidP="007F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A629" w14:textId="77777777" w:rsidR="007F29BA" w:rsidRPr="007F29BA" w:rsidRDefault="007F29BA" w:rsidP="007F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5055" w14:textId="77777777" w:rsidR="007F29BA" w:rsidRPr="007F29BA" w:rsidRDefault="007F29BA" w:rsidP="007F2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F29BA" w:rsidRPr="007F29BA" w14:paraId="75DFC34A" w14:textId="77777777" w:rsidTr="007F29BA">
        <w:trPr>
          <w:trHeight w:val="51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569733D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76A501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A4F9E5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139A8F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1D4E05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 IZMJENE I DOPUNE PLANA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46E924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6ABCF5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</w:tr>
      <w:tr w:rsidR="007F29BA" w:rsidRPr="007F29BA" w14:paraId="68998F5D" w14:textId="77777777" w:rsidTr="007F29BA">
        <w:trPr>
          <w:trHeight w:val="210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453E83E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015DD4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79568C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FA0C1B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AF3A14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53FC0B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F8DF40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7F29BA" w:rsidRPr="007F29BA" w14:paraId="19D30746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CFF4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FB66F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7E49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BF0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16.047.279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BAA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20.252.416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E42B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19.940.000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2EF81" w14:textId="3FEE3EA8" w:rsidR="007F29BA" w:rsidRPr="007F29BA" w:rsidRDefault="007F29BA" w:rsidP="00E34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E34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E34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B46A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AED1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20.772.000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6ABA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21.432.000</w:t>
            </w:r>
          </w:p>
        </w:tc>
      </w:tr>
      <w:tr w:rsidR="007F29BA" w:rsidRPr="007F29BA" w14:paraId="02E26F63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BC5B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C42E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D95F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085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12.385.466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71B7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16.337.934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59BF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16.775.000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D369B" w14:textId="24829528" w:rsidR="007F29BA" w:rsidRPr="007F29BA" w:rsidRDefault="00E34E3E" w:rsidP="00E34E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</w:t>
            </w:r>
            <w:r w:rsidR="007F29BA"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="007F29BA"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4DD7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17.797.000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A2C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18.397.000</w:t>
            </w:r>
          </w:p>
        </w:tc>
      </w:tr>
      <w:tr w:rsidR="007F29BA" w:rsidRPr="007F29BA" w14:paraId="42D7484B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E56F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9D35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C87A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E26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6.338.031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6AEA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6.860.000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790A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7.660.000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4B818" w14:textId="13C53777" w:rsidR="007F29BA" w:rsidRPr="007F29BA" w:rsidRDefault="00E34E3E" w:rsidP="00E34E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</w:t>
            </w:r>
            <w:r w:rsidR="007F29BA"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7F29BA"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76CB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7.800.000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2E6A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8.050.000</w:t>
            </w:r>
          </w:p>
        </w:tc>
      </w:tr>
      <w:tr w:rsidR="007F29BA" w:rsidRPr="007F29BA" w14:paraId="37C9B307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D44DA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756B5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2CBB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C6A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4.826.586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7711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6.998.319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9A42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6.705.000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BDD4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6.965.000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5274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7.495.000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11FB1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7.705.000</w:t>
            </w:r>
          </w:p>
        </w:tc>
      </w:tr>
      <w:tr w:rsidR="007F29BA" w:rsidRPr="007F29BA" w14:paraId="341815E8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5D255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2E8F6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FF64A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5551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119.661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DD58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134.414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45781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145.000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DDF0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30B3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167.000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1B20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192.000</w:t>
            </w:r>
          </w:p>
        </w:tc>
      </w:tr>
      <w:tr w:rsidR="007F29BA" w:rsidRPr="007F29BA" w14:paraId="3FF819FA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D2AD1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05CFB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E6D8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unutar države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C84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1.100.446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6530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1.979.297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B550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AF86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8DDC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1.980.000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15BB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2.095.000</w:t>
            </w:r>
          </w:p>
        </w:tc>
      </w:tr>
      <w:tr w:rsidR="007F29BA" w:rsidRPr="007F29BA" w14:paraId="524FC29B" w14:textId="77777777" w:rsidTr="007F29BA">
        <w:trPr>
          <w:trHeight w:val="5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962E3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37AD9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D59D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A86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743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82C0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D82E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4800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0AD1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E153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7F29BA" w:rsidRPr="007F29BA" w14:paraId="701244FD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98AED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37F0A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6D69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399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E78D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359.268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F393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2836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764B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F0AE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350.000</w:t>
            </w:r>
          </w:p>
        </w:tc>
      </w:tr>
      <w:tr w:rsidR="007F29BA" w:rsidRPr="007F29BA" w14:paraId="37378666" w14:textId="77777777" w:rsidTr="007F29BA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D8E88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1AB2F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…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F141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439E3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D62E6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7FC8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095B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DA92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E7B2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F29BA" w:rsidRPr="007F29BA" w14:paraId="7ECA38DF" w14:textId="77777777" w:rsidTr="007F29BA">
        <w:trPr>
          <w:trHeight w:val="5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BBADD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C98E2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205D2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1C8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3.661.814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1860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3.914.482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0186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3.165.000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5216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3.655.000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F3B2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2.975.000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DB6C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3.035.000</w:t>
            </w:r>
          </w:p>
        </w:tc>
      </w:tr>
      <w:tr w:rsidR="007F29BA" w:rsidRPr="007F29BA" w14:paraId="5CE7D62C" w14:textId="77777777" w:rsidTr="007F29BA">
        <w:trPr>
          <w:trHeight w:val="5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CCE2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4B5F9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C9F4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6DD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941.314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F649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1.422.540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2B10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E07A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753C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605.000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6AEA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615.000</w:t>
            </w:r>
          </w:p>
        </w:tc>
      </w:tr>
      <w:tr w:rsidR="007F29BA" w:rsidRPr="007F29BA" w14:paraId="500C49DE" w14:textId="77777777" w:rsidTr="007F29BA">
        <w:trPr>
          <w:trHeight w:val="5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4015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4743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A2D1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FEB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2.416.484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FCE0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2.307.046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FE60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2.020.000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9055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2.100.000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FCB0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2.020.000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CAA4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2.170.000</w:t>
            </w:r>
          </w:p>
        </w:tc>
      </w:tr>
      <w:tr w:rsidR="007F29BA" w:rsidRPr="007F29BA" w14:paraId="33A74405" w14:textId="77777777" w:rsidTr="007F29BA">
        <w:trPr>
          <w:trHeight w:val="5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A3B7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63B2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70B2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1CA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F29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304.016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0112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184.896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EE0E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205.000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5FE2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915.000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476B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AFBB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250.000</w:t>
            </w:r>
          </w:p>
        </w:tc>
      </w:tr>
    </w:tbl>
    <w:p w14:paraId="200E86F8" w14:textId="137806AE" w:rsidR="0095373C" w:rsidRDefault="0095373C" w:rsidP="0095373C">
      <w:pPr>
        <w:rPr>
          <w:lang w:eastAsia="hr-HR"/>
        </w:rPr>
      </w:pPr>
    </w:p>
    <w:p w14:paraId="7EA4EA1E" w14:textId="5C0385A4" w:rsidR="007F29BA" w:rsidRDefault="007F29BA" w:rsidP="0095373C">
      <w:pPr>
        <w:rPr>
          <w:lang w:eastAsia="hr-HR"/>
        </w:rPr>
      </w:pPr>
    </w:p>
    <w:p w14:paraId="0E2AC65D" w14:textId="3CD880EA" w:rsidR="007F29BA" w:rsidRDefault="007F29BA" w:rsidP="0095373C">
      <w:pPr>
        <w:rPr>
          <w:lang w:eastAsia="hr-HR"/>
        </w:rPr>
      </w:pPr>
    </w:p>
    <w:p w14:paraId="58D66DEB" w14:textId="691FAA3E" w:rsidR="007F29BA" w:rsidRDefault="007F29BA" w:rsidP="0095373C">
      <w:pPr>
        <w:rPr>
          <w:lang w:eastAsia="hr-HR"/>
        </w:rPr>
      </w:pPr>
    </w:p>
    <w:p w14:paraId="7ED309E0" w14:textId="77777777" w:rsidR="007F29BA" w:rsidRPr="0095373C" w:rsidRDefault="007F29BA" w:rsidP="0095373C">
      <w:pPr>
        <w:rPr>
          <w:lang w:eastAsia="hr-HR"/>
        </w:rPr>
      </w:pPr>
    </w:p>
    <w:p w14:paraId="55131D25" w14:textId="0199C8B0" w:rsidR="0095373C" w:rsidRDefault="00BB4DFB" w:rsidP="0095373C">
      <w:pPr>
        <w:pStyle w:val="Heading2"/>
      </w:pPr>
      <w:bookmarkStart w:id="13" w:name="_Toc153441149"/>
      <w:r>
        <w:lastRenderedPageBreak/>
        <w:t>Prihodi i r</w:t>
      </w:r>
      <w:r w:rsidR="0095373C">
        <w:t>ashodi prema izvorima financiranja</w:t>
      </w:r>
      <w:bookmarkEnd w:id="12"/>
      <w:bookmarkEnd w:id="13"/>
    </w:p>
    <w:p w14:paraId="5952097A" w14:textId="77777777" w:rsidR="0095373C" w:rsidRDefault="0095373C" w:rsidP="009537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1A3F1B8" w14:textId="7E79A7B2" w:rsidR="0095373C" w:rsidRPr="001B0756" w:rsidRDefault="00BB4DFB" w:rsidP="007F29BA">
      <w:pPr>
        <w:pStyle w:val="Heading3"/>
        <w:numPr>
          <w:ilvl w:val="0"/>
          <w:numId w:val="0"/>
        </w:numPr>
        <w:ind w:left="3261" w:firstLine="279"/>
        <w:jc w:val="left"/>
        <w:rPr>
          <w:rFonts w:ascii="Arial" w:hAnsi="Arial" w:cs="Arial"/>
          <w:b w:val="0"/>
          <w:bCs/>
          <w:color w:val="000000"/>
          <w:lang w:eastAsia="hr-HR"/>
        </w:rPr>
      </w:pPr>
      <w:bookmarkStart w:id="14" w:name="_Toc150255897"/>
      <w:bookmarkStart w:id="15" w:name="_Toc153441150"/>
      <w:r>
        <w:rPr>
          <w:lang w:eastAsia="hr-HR"/>
        </w:rPr>
        <w:t>PRIHODI I RASHODI PREMA IZVORIMA FINANCIRANJA</w:t>
      </w:r>
      <w:bookmarkEnd w:id="14"/>
      <w:bookmarkEnd w:id="15"/>
    </w:p>
    <w:tbl>
      <w:tblPr>
        <w:tblW w:w="13220" w:type="dxa"/>
        <w:tblLook w:val="04A0" w:firstRow="1" w:lastRow="0" w:firstColumn="1" w:lastColumn="0" w:noHBand="0" w:noVBand="1"/>
      </w:tblPr>
      <w:tblGrid>
        <w:gridCol w:w="3520"/>
        <w:gridCol w:w="1440"/>
        <w:gridCol w:w="1620"/>
        <w:gridCol w:w="1420"/>
        <w:gridCol w:w="1860"/>
        <w:gridCol w:w="1620"/>
        <w:gridCol w:w="1740"/>
      </w:tblGrid>
      <w:tr w:rsidR="007F29BA" w:rsidRPr="007F29BA" w14:paraId="15375D73" w14:textId="77777777" w:rsidTr="007F29BA">
        <w:trPr>
          <w:trHeight w:val="510"/>
        </w:trPr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EEDC65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8A170F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A38AC4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0F65C2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BF942D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 IZMJENE I DOPUNE PLANA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A44DE0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4C67D0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</w:tr>
      <w:tr w:rsidR="007F29BA" w:rsidRPr="007F29BA" w14:paraId="05BF425B" w14:textId="77777777" w:rsidTr="007F29BA">
        <w:trPr>
          <w:trHeight w:val="21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08B1D0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9A3268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8CA250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3BAB6F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2C8908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91CB3B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2E4950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7F29BA" w:rsidRPr="007F29BA" w14:paraId="797F5FA4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4AB1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B338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18.492.471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4A9F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20.495.971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9667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20.164.426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C8EC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20.793.345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DBD2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21.260.027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DA99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22.155.000</w:t>
            </w:r>
          </w:p>
        </w:tc>
      </w:tr>
      <w:tr w:rsidR="007F29BA" w:rsidRPr="007F29BA" w14:paraId="428E22D1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FE5B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EB29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533.868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51F6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816.362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3354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829.000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06DE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834.000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4902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985.000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C121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1.050.000</w:t>
            </w:r>
          </w:p>
        </w:tc>
      </w:tr>
      <w:tr w:rsidR="007F29BA" w:rsidRPr="007F29BA" w14:paraId="02B12A2B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8371" w14:textId="77777777" w:rsidR="007F29BA" w:rsidRPr="007F29BA" w:rsidRDefault="007F29BA" w:rsidP="007F29B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 Vlastiti prihodi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165E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533.868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E752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816.362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1422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829.000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34B4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834.000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BA15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985.000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A2A9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1.050.000</w:t>
            </w:r>
          </w:p>
        </w:tc>
      </w:tr>
      <w:tr w:rsidR="007F29BA" w:rsidRPr="007F29BA" w14:paraId="43175346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6D64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070E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16.110.057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7CA5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18.132.590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9906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19.083.000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6308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19.083.000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0E58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20.105.000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2BCF1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21.105.000</w:t>
            </w:r>
          </w:p>
        </w:tc>
      </w:tr>
      <w:tr w:rsidR="007F29BA" w:rsidRPr="007F29BA" w14:paraId="3FA1165D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28995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 Ostali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4FB3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16.110.057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6179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18.132.590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4C97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19.083.000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09AA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19.083.000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94DF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20.105.000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09BA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21.105.000</w:t>
            </w:r>
          </w:p>
        </w:tc>
      </w:tr>
      <w:tr w:rsidR="007F29BA" w:rsidRPr="007F29BA" w14:paraId="1219FC4C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3B173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B3D1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1.848.546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2F9D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1.537.019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865B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252.426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2A31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876.345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7E7D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5592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5EC1571C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9BE5" w14:textId="77777777" w:rsidR="007F29BA" w:rsidRPr="007F29BA" w:rsidRDefault="007F29BA" w:rsidP="007F29B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 Pomoći 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9611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E21A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D87A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96A1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14.231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86B3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716C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3F22DBD0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BB51" w14:textId="77777777" w:rsidR="007F29BA" w:rsidRPr="007F29BA" w:rsidRDefault="007F29BA" w:rsidP="007F29B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 Ostale pomoći i darovnice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9ECB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110.213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AFD9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FBD9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252.426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9DA2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266.114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29A6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170.027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B316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3DC949A0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9886" w14:textId="77777777" w:rsidR="007F29BA" w:rsidRPr="007F29BA" w:rsidRDefault="007F29BA" w:rsidP="007F29B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 Fondovi 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31DF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1.738.333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1DCB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1.412.019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DD4C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82D1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596.000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65C3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C7EC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31452145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6014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Donacije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4E11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D0D7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B938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8A74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6D9F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58E6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7A5FB0D1" w14:textId="77777777" w:rsidTr="007F29BA">
        <w:trPr>
          <w:trHeight w:val="28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26B6" w14:textId="77777777" w:rsidR="007F29BA" w:rsidRPr="007F29BA" w:rsidRDefault="007F29BA" w:rsidP="007F29B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61 Donacije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BFB5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72A8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74DA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B5DA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5BDC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DF51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0802268F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2E92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8881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16.047.280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A516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20.252.416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1649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19.940.000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CA09E" w14:textId="26227B83" w:rsidR="007F29BA" w:rsidRPr="007F29BA" w:rsidRDefault="007F29BA" w:rsidP="00714A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714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714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A8F5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20.772.000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B1A0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21.432.000</w:t>
            </w:r>
          </w:p>
        </w:tc>
      </w:tr>
      <w:tr w:rsidR="007F29BA" w:rsidRPr="007F29BA" w14:paraId="56FD3416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DEF6D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6FA4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448.822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C027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816.362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710B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819.000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9A1A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834.000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CA8E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985.000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8FA0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1.050.000</w:t>
            </w:r>
          </w:p>
        </w:tc>
      </w:tr>
      <w:tr w:rsidR="007F29BA" w:rsidRPr="007F29BA" w14:paraId="6403D829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23C2" w14:textId="77777777" w:rsidR="007F29BA" w:rsidRPr="007F29BA" w:rsidRDefault="007F29BA" w:rsidP="007F29B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 Vlastiti prihodi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C954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448.822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8A44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816.362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33AEA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819.000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81E4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834.000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DE8E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985.000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CA35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1.050.000</w:t>
            </w:r>
          </w:p>
        </w:tc>
      </w:tr>
      <w:tr w:rsidR="007F29BA" w:rsidRPr="007F29BA" w14:paraId="26B3616E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91B6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AAD6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13.540.213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B7B1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17.889.035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F4D4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18.868.574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43751" w14:textId="7D3BFD92" w:rsidR="007F29BA" w:rsidRPr="007F29BA" w:rsidRDefault="007F29BA" w:rsidP="00714A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714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714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19.655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B03C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19.631.973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DC67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20.382.000</w:t>
            </w:r>
          </w:p>
        </w:tc>
      </w:tr>
      <w:tr w:rsidR="007F29BA" w:rsidRPr="007F29BA" w14:paraId="5D3B85E0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D7427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 Ostali prihodi za posebne namjene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DE90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13.540.213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1FB8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17.889.035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C1EA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18.868.574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18D37" w14:textId="6B15EF47" w:rsidR="007F29BA" w:rsidRPr="007F29BA" w:rsidRDefault="00714AF4" w:rsidP="00714A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</w:t>
            </w:r>
            <w:r w:rsidR="007F29BA"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 w:rsidR="007F29BA"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19.655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363E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19.631.973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D58F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20.382.000</w:t>
            </w:r>
          </w:p>
        </w:tc>
      </w:tr>
      <w:tr w:rsidR="007F29BA" w:rsidRPr="007F29BA" w14:paraId="1195ABB0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C368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44F3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2.058.245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0A48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1.537.019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5F42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252.426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3DC0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876.345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CAEF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033F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4E4C6BA4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35C9" w14:textId="77777777" w:rsidR="007F29BA" w:rsidRPr="007F29BA" w:rsidRDefault="007F29BA" w:rsidP="007F29B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51 Pomoći 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4385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3012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120C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3F8D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14.231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E3BE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DDB8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1032F6C6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4DFD" w14:textId="77777777" w:rsidR="007F29BA" w:rsidRPr="007F29BA" w:rsidRDefault="007F29BA" w:rsidP="007F29B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52 Ostale pomoći i darovnice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ED3D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319.911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13B9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7E5F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252.426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D69E1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266.114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3A4F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155.027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C9BD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2014F52C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1CCD8" w14:textId="77777777" w:rsidR="007F29BA" w:rsidRPr="007F29BA" w:rsidRDefault="007F29BA" w:rsidP="007F29B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56 Fondovi 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C35D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1.738.334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94102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1.412.019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FB86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2169E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596.000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A850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DA73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3C57B2A3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6D0D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Donacije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A844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1A1F6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F321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22A8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7168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8E2F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F29BA" w:rsidRPr="007F29BA" w14:paraId="1DD96C8A" w14:textId="77777777" w:rsidTr="007F29BA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E4C5" w14:textId="77777777" w:rsidR="007F29BA" w:rsidRPr="007F29BA" w:rsidRDefault="007F29BA" w:rsidP="007F29B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61 Donacije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10CF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B50C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77FB1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AA47D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4F43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9297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4FAA426F" w14:textId="77777777" w:rsidR="0095373C" w:rsidRDefault="0095373C" w:rsidP="0095373C">
      <w:pPr>
        <w:rPr>
          <w:lang w:eastAsia="hr-HR"/>
        </w:rPr>
      </w:pPr>
    </w:p>
    <w:p w14:paraId="51C38021" w14:textId="77777777" w:rsidR="0095373C" w:rsidRDefault="0095373C" w:rsidP="0095373C">
      <w:pPr>
        <w:rPr>
          <w:lang w:eastAsia="hr-HR"/>
        </w:rPr>
      </w:pPr>
    </w:p>
    <w:p w14:paraId="541749BA" w14:textId="6E10A0D3" w:rsidR="0095373C" w:rsidRDefault="0095373C" w:rsidP="0095373C">
      <w:pPr>
        <w:pStyle w:val="Heading2"/>
      </w:pPr>
      <w:bookmarkStart w:id="16" w:name="_Toc150255898"/>
      <w:bookmarkStart w:id="17" w:name="_Toc153441151"/>
      <w:r>
        <w:t>Rashodi prema f</w:t>
      </w:r>
      <w:r w:rsidR="00541072">
        <w:t>unkcijskoj</w:t>
      </w:r>
      <w:r>
        <w:t xml:space="preserve"> klasifikaciji</w:t>
      </w:r>
      <w:bookmarkEnd w:id="16"/>
      <w:bookmarkEnd w:id="17"/>
    </w:p>
    <w:p w14:paraId="1C745950" w14:textId="77777777" w:rsidR="0095373C" w:rsidRPr="001B0756" w:rsidRDefault="0095373C" w:rsidP="0095373C">
      <w:pPr>
        <w:rPr>
          <w:lang w:eastAsia="hr-HR"/>
        </w:rPr>
      </w:pPr>
    </w:p>
    <w:tbl>
      <w:tblPr>
        <w:tblW w:w="13340" w:type="dxa"/>
        <w:tblLook w:val="04A0" w:firstRow="1" w:lastRow="0" w:firstColumn="1" w:lastColumn="0" w:noHBand="0" w:noVBand="1"/>
      </w:tblPr>
      <w:tblGrid>
        <w:gridCol w:w="3360"/>
        <w:gridCol w:w="1640"/>
        <w:gridCol w:w="1720"/>
        <w:gridCol w:w="1640"/>
        <w:gridCol w:w="1820"/>
        <w:gridCol w:w="1540"/>
        <w:gridCol w:w="1620"/>
      </w:tblGrid>
      <w:tr w:rsidR="007F29BA" w:rsidRPr="007F29BA" w14:paraId="25E98530" w14:textId="77777777" w:rsidTr="007F29BA">
        <w:trPr>
          <w:trHeight w:val="510"/>
        </w:trPr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3AB778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9D49B0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20CFA3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CA6CDE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BF5386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 IZMJENE I DOPUNE PLANA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F3EB1C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8F6A2F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</w:tr>
      <w:tr w:rsidR="007F29BA" w:rsidRPr="007F29BA" w14:paraId="0FAE57D7" w14:textId="77777777" w:rsidTr="007F29BA">
        <w:trPr>
          <w:trHeight w:val="210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A73C83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C9184C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B609FA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A9AB04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128136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F3B667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A979B1" w14:textId="77777777" w:rsidR="007F29BA" w:rsidRPr="007F29BA" w:rsidRDefault="007F29BA" w:rsidP="007F2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7F29BA" w:rsidRPr="007F29BA" w14:paraId="451900C9" w14:textId="77777777" w:rsidTr="007F29BA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9318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3DE3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16.047.280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04C9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20.252.416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79660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19.940.000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09FF8" w14:textId="2A96E9B9" w:rsidR="007F29BA" w:rsidRPr="007F29BA" w:rsidRDefault="007F29BA" w:rsidP="00714A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714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714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59E5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20.772.000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79697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21.432.000</w:t>
            </w:r>
          </w:p>
        </w:tc>
      </w:tr>
      <w:tr w:rsidR="007F29BA" w:rsidRPr="007F29BA" w14:paraId="09C65DA9" w14:textId="77777777" w:rsidTr="007F29BA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085E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05 Zaštita okoliša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DE6D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16.047.280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CFD0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20.252.416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4B1BF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19.940.000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38D94" w14:textId="0723B97C" w:rsidR="007F29BA" w:rsidRPr="007F29BA" w:rsidRDefault="007F29BA" w:rsidP="00714A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714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714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</w:t>
            </w: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B5284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20.772.000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95889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21.432.000</w:t>
            </w:r>
          </w:p>
        </w:tc>
      </w:tr>
      <w:tr w:rsidR="007F29BA" w:rsidRPr="007F29BA" w14:paraId="1E39389E" w14:textId="77777777" w:rsidTr="007F29BA">
        <w:trPr>
          <w:trHeight w:val="29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C05D" w14:textId="77777777" w:rsidR="007F29BA" w:rsidRPr="007F29BA" w:rsidRDefault="007F29BA" w:rsidP="007F29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054 Zaštita bioraznolikosti i krajolika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76A75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16.047.280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BC698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20.252.416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EA8FB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19.940.000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5975F" w14:textId="0594DD07" w:rsidR="007F29BA" w:rsidRPr="007F29BA" w:rsidRDefault="007F29BA" w:rsidP="00714A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714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714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</w:t>
            </w: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D10D3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20.772.000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B250C" w14:textId="77777777" w:rsidR="007F29BA" w:rsidRPr="007F29BA" w:rsidRDefault="007F29BA" w:rsidP="007F29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F2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21.432.000</w:t>
            </w:r>
          </w:p>
        </w:tc>
      </w:tr>
    </w:tbl>
    <w:p w14:paraId="1F09EF7B" w14:textId="1D0FF903" w:rsidR="0095373C" w:rsidRDefault="0095373C" w:rsidP="0095373C">
      <w:pPr>
        <w:rPr>
          <w:lang w:eastAsia="hr-HR"/>
        </w:rPr>
      </w:pPr>
    </w:p>
    <w:p w14:paraId="08D0B08D" w14:textId="77777777" w:rsidR="0095373C" w:rsidRDefault="0095373C" w:rsidP="0095373C">
      <w:pPr>
        <w:rPr>
          <w:lang w:eastAsia="hr-HR"/>
        </w:rPr>
      </w:pPr>
    </w:p>
    <w:p w14:paraId="5B350B43" w14:textId="397FCC15" w:rsidR="0095373C" w:rsidRDefault="0095373C" w:rsidP="0095373C">
      <w:pPr>
        <w:pStyle w:val="Heading1"/>
      </w:pPr>
      <w:bookmarkStart w:id="18" w:name="_Toc150255899"/>
      <w:bookmarkStart w:id="19" w:name="_Toc153441152"/>
      <w:r>
        <w:t>Posebni dio I. Izmjena i dopuna Financijskog plana Javne ustanove Nacionalni park Krka</w:t>
      </w:r>
      <w:bookmarkEnd w:id="18"/>
      <w:bookmarkEnd w:id="19"/>
    </w:p>
    <w:p w14:paraId="1CFDF16B" w14:textId="77777777" w:rsidR="0095373C" w:rsidRPr="001B0756" w:rsidRDefault="0095373C" w:rsidP="0095373C">
      <w:pPr>
        <w:rPr>
          <w:lang w:eastAsia="hr-HR"/>
        </w:rPr>
      </w:pPr>
    </w:p>
    <w:tbl>
      <w:tblPr>
        <w:tblW w:w="13180" w:type="dxa"/>
        <w:tblLook w:val="04A0" w:firstRow="1" w:lastRow="0" w:firstColumn="1" w:lastColumn="0" w:noHBand="0" w:noVBand="1"/>
      </w:tblPr>
      <w:tblGrid>
        <w:gridCol w:w="1028"/>
        <w:gridCol w:w="4035"/>
        <w:gridCol w:w="1328"/>
        <w:gridCol w:w="1252"/>
        <w:gridCol w:w="1217"/>
        <w:gridCol w:w="1330"/>
        <w:gridCol w:w="1495"/>
        <w:gridCol w:w="1495"/>
      </w:tblGrid>
      <w:tr w:rsidR="00612435" w:rsidRPr="00612435" w14:paraId="26F09AE0" w14:textId="77777777" w:rsidTr="00612435">
        <w:trPr>
          <w:trHeight w:val="780"/>
        </w:trPr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1812607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9CAF23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F7AE54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E79379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2024.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116351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 IZMJENE I DOPUNE PLANA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1C1CE1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8CA05B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</w:tr>
      <w:tr w:rsidR="00612435" w:rsidRPr="00612435" w14:paraId="2586B35D" w14:textId="77777777" w:rsidTr="00612435">
        <w:trPr>
          <w:trHeight w:val="52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58B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22234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6069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PRORAČUNSKI KORISNIK: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JAVNA USTANOVA NACIONALNI PARK KRKA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86C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16.047.280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F95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20.252.416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C31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19.940.000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00D5" w14:textId="5F8DA328" w:rsidR="00612435" w:rsidRPr="00612435" w:rsidRDefault="00612435" w:rsidP="00714A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714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714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EC84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20.772.000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A1B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21.432.000</w:t>
            </w:r>
          </w:p>
        </w:tc>
      </w:tr>
      <w:tr w:rsidR="00612435" w:rsidRPr="00612435" w14:paraId="604AF130" w14:textId="77777777" w:rsidTr="00612435">
        <w:trPr>
          <w:trHeight w:val="52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AE0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578B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GLAVNI PROGRAM: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ZAŠTITA I OČUVANJE PRIRODE I OKOLIŠA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610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16.047.280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C910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20.252.416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54F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19.940.000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9A19" w14:textId="7A8A6886" w:rsidR="00612435" w:rsidRPr="00612435" w:rsidRDefault="00612435" w:rsidP="00714A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714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714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744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20.772.000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387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21.432.000</w:t>
            </w:r>
          </w:p>
        </w:tc>
      </w:tr>
      <w:tr w:rsidR="00612435" w:rsidRPr="00612435" w14:paraId="7C1CDE0C" w14:textId="77777777" w:rsidTr="00612435">
        <w:trPr>
          <w:trHeight w:val="29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B4F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3401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9BEF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F3B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16.047.280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AAA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20.252.416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67F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19.940.000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2C0E" w14:textId="6FB0EDC7" w:rsidR="00612435" w:rsidRPr="00612435" w:rsidRDefault="00612435" w:rsidP="00714A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714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714A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D21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20.772.000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1D9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21.432.000</w:t>
            </w:r>
          </w:p>
        </w:tc>
      </w:tr>
      <w:tr w:rsidR="00612435" w:rsidRPr="00612435" w14:paraId="26E10AB2" w14:textId="77777777" w:rsidTr="00612435">
        <w:trPr>
          <w:trHeight w:val="57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702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A779047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DFBE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ADMINISTRACIJA I UPRAVLJANJE (IZ EVIDENCIJSKIH PRIHODA)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1F7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14.308.946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EED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18.840.397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D3C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19.940.000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1DB5" w14:textId="35701709" w:rsidR="00612435" w:rsidRPr="00612435" w:rsidRDefault="00612435" w:rsidP="00FD2D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FD2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FD2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8D3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20.772.000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008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21.432.000</w:t>
            </w:r>
          </w:p>
        </w:tc>
      </w:tr>
      <w:tr w:rsidR="00612435" w:rsidRPr="00612435" w14:paraId="0A411673" w14:textId="77777777" w:rsidTr="00612435">
        <w:trPr>
          <w:trHeight w:val="52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0570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6B0F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FINANCIRANJA: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VLASTITI PRIHODI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025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448.822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2F4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816.362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6E4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819.000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29F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3EA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985.000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568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1.050.000</w:t>
            </w:r>
          </w:p>
        </w:tc>
      </w:tr>
      <w:tr w:rsidR="00612435" w:rsidRPr="00612435" w14:paraId="013EBE49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E83B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10F3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F1B4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448.822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7882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F33E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819.000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823B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F707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985.000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B1DA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1.050.000</w:t>
            </w:r>
          </w:p>
        </w:tc>
      </w:tr>
      <w:tr w:rsidR="00612435" w:rsidRPr="00612435" w14:paraId="5FE862AE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A5C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3748E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B2AAC" w14:textId="77777777" w:rsidR="00612435" w:rsidRPr="00612435" w:rsidRDefault="00612435" w:rsidP="0061243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448.822 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1067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0F47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819.000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05EA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834.000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B7D8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985.000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BE76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1.050.000</w:t>
            </w:r>
          </w:p>
        </w:tc>
      </w:tr>
      <w:tr w:rsidR="00612435" w:rsidRPr="00612435" w14:paraId="53E106A4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A35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5E82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2C89C1" w14:textId="77777777" w:rsidR="00612435" w:rsidRPr="00612435" w:rsidRDefault="00612435" w:rsidP="0061243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D738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4CCC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152A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D82E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3996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34039283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B61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E7B82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4D41D" w14:textId="77777777" w:rsidR="00612435" w:rsidRPr="00612435" w:rsidRDefault="00612435" w:rsidP="0061243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A249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B9CA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5E26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A54B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FDFA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52100D2E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6FB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0424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Kapitalne pomoći unutar države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E591F4" w14:textId="77777777" w:rsidR="00612435" w:rsidRPr="00612435" w:rsidRDefault="00612435" w:rsidP="0061243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CEBF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4867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878F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5C33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E2DC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6C20C1B2" w14:textId="77777777" w:rsidTr="00612435">
        <w:trPr>
          <w:trHeight w:val="5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734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5544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00EFD0" w14:textId="77777777" w:rsidR="00612435" w:rsidRPr="00612435" w:rsidRDefault="00612435" w:rsidP="0061243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CDDC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5AFC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548D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97C3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EFE5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6D4D0050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C55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A327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B009C" w14:textId="77777777" w:rsidR="00612435" w:rsidRPr="00612435" w:rsidRDefault="00612435" w:rsidP="0061243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33AC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404B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6DC7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3B8B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1F9E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03440427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1DE6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A0BB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102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A44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216362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C236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686D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1072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C63F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3B1CF715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049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E614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337A37" w14:textId="77777777" w:rsidR="00612435" w:rsidRPr="00612435" w:rsidRDefault="00612435" w:rsidP="0061243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47A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216362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DA9F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D0E9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6803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290E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38EE9663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B75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A4B2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832DB0" w14:textId="77777777" w:rsidR="00612435" w:rsidRPr="00612435" w:rsidRDefault="00612435" w:rsidP="0061243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C776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E7D2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4BC0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E377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3227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1E9724DA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154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13CC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6575F" w14:textId="77777777" w:rsidR="00612435" w:rsidRPr="00612435" w:rsidRDefault="00612435" w:rsidP="0061243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0 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9E5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07C3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A2E4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F6EE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F7F6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136F2FD7" w14:textId="77777777" w:rsidTr="00612435">
        <w:trPr>
          <w:trHeight w:val="46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8CE6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14E5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FINANCIRANJA: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Ostali prhodi za posebne namjene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557A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13.540.213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07FE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17.889.035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8944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18.868.574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CE77E" w14:textId="0F9591EF" w:rsidR="00612435" w:rsidRPr="00612435" w:rsidRDefault="00612435" w:rsidP="00B46A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B46A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B46A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719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.655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9B11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19.631.973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C149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20.382.000</w:t>
            </w:r>
          </w:p>
        </w:tc>
      </w:tr>
      <w:tr w:rsidR="00612435" w:rsidRPr="00612435" w14:paraId="480EF733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010E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4789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9174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11.650.197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DF33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15.482.934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7DC8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15.703.574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3B0DB" w14:textId="07B21A0A" w:rsidR="00612435" w:rsidRPr="00612435" w:rsidRDefault="00B46A47" w:rsidP="00B46A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</w:t>
            </w:r>
            <w:r w:rsidR="00612435"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612435"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69.655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4B9E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16.656.973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C553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17.347.000</w:t>
            </w:r>
          </w:p>
        </w:tc>
      </w:tr>
      <w:tr w:rsidR="00612435" w:rsidRPr="00612435" w14:paraId="78809BCE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4AE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3E8E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8C81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5.808.533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1255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6.260.000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29EF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6.729.000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A8A68" w14:textId="7941EA54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B46A4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.4</w:t>
            </w: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C95A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6.760.000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68B7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7.000.000</w:t>
            </w:r>
          </w:p>
        </w:tc>
      </w:tr>
      <w:tr w:rsidR="00612435" w:rsidRPr="00612435" w14:paraId="680F7D76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36A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9895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965F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4.620.814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9ACC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6.743.319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5B49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6.564.574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DF97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6.756.655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7562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7.394.973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17B9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7.705.000</w:t>
            </w:r>
          </w:p>
        </w:tc>
      </w:tr>
      <w:tr w:rsidR="00612435" w:rsidRPr="00612435" w14:paraId="4A545C19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12C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2564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85EC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119.661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8858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134.414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8783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145.000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7E75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1B70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167.000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7BF5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192.000</w:t>
            </w:r>
          </w:p>
        </w:tc>
      </w:tr>
      <w:tr w:rsidR="00612435" w:rsidRPr="00612435" w14:paraId="3CA03FBC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0FB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90C9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Kapitalne pomoći unutar države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8366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1.100.446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CD16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1.979.297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A6C8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1760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9598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1.980.000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CADB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2.095.000</w:t>
            </w:r>
          </w:p>
        </w:tc>
      </w:tr>
      <w:tr w:rsidR="00612435" w:rsidRPr="00612435" w14:paraId="1800453D" w14:textId="77777777" w:rsidTr="00612435">
        <w:trPr>
          <w:trHeight w:val="51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E05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6484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A0B2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A798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6.636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64B1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BEA8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02A5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4E63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</w:tr>
      <w:tr w:rsidR="00612435" w:rsidRPr="00612435" w14:paraId="7DFDBB9C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01A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59BB1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2B35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6C28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359.268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0CE0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C52B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EC3A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350.000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395F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350.000</w:t>
            </w:r>
          </w:p>
        </w:tc>
      </w:tr>
      <w:tr w:rsidR="00612435" w:rsidRPr="00612435" w14:paraId="6A219C3D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3526D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D1BA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393E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1.890.015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DDBC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2.406.101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48F5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3.165.000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B219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3.150.000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39D5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2.975.000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8723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3.035.000</w:t>
            </w:r>
          </w:p>
        </w:tc>
      </w:tr>
      <w:tr w:rsidR="00612435" w:rsidRPr="00612435" w14:paraId="71218172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3B33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23C4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BE76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824.463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A168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606.178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F931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A7C7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498.000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6F55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605.000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E14D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615.000</w:t>
            </w:r>
          </w:p>
        </w:tc>
      </w:tr>
      <w:tr w:rsidR="00612435" w:rsidRPr="00612435" w14:paraId="2EFA2180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E55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EA01D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13A0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1.055.580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BC89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1.615.027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AABC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2.020.000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D059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1.737.000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BC42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2.020.000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0C74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2.170.000</w:t>
            </w:r>
          </w:p>
        </w:tc>
      </w:tr>
      <w:tr w:rsidR="00612435" w:rsidRPr="00612435" w14:paraId="37F4C79D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E72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74065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E473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9.973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00C9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184.896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FA20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205.000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7774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6BF7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350.000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D3E8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250.000</w:t>
            </w:r>
          </w:p>
        </w:tc>
      </w:tr>
      <w:tr w:rsidR="00612435" w:rsidRPr="00612435" w14:paraId="4E55171F" w14:textId="77777777" w:rsidTr="00612435">
        <w:trPr>
          <w:trHeight w:val="53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B491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51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DF30B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FINANCIRANJA: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Pomoći EU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1DB1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DEE9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6375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52E4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14.231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D9D2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1E97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12435" w:rsidRPr="00612435" w14:paraId="614245FF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EB4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2B81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BB63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B8C8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B7B8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DB08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14.231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9C20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6172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12435" w:rsidRPr="00612435" w14:paraId="35C16FF7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2EE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9FD7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BF21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3474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2505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1533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1C8C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17BA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12435" w:rsidRPr="00612435" w14:paraId="207832E1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165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0FFA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8B3C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5977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140B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DAAE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14.231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2B07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7CC6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12435" w:rsidRPr="00612435" w14:paraId="5914F1F3" w14:textId="77777777" w:rsidTr="00612435">
        <w:trPr>
          <w:trHeight w:val="52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9776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36CC5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FINANCIRANJA: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Ostale pomoći i darovnice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0B8C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319.911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D83C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47EA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252.426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C541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266.114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3CF4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155.027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2A79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72E20AD6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CEC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2195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910D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208.712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70AE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A1CC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252.426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DF3F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266.114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58BD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155.027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1D47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3C155C1C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B9F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1251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3770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80.675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9497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332F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112.000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803E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B8A2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F686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484A9AEE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817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20C78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51C7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128.037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1653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47EA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140.426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B321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103.114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CA3F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A58B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22CFC13A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81B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25FC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027D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611B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3724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4CA5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43C4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88E1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79CC05FB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4A2BE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103D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FDD5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111.199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ED2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6167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87B2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9F35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3ED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5124878C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6C8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C104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AB81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4BA6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F9A7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4D4A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F620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FE86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7C5DDD55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D98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F24D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A6C6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111.199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CCCE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EC4C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05CA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FB31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617D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5853A9E0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0F9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03507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F1C3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A5F8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0311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8E24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E89B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671A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667BEA39" w14:textId="77777777" w:rsidTr="00612435">
        <w:trPr>
          <w:trHeight w:val="58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E0C7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E313" w14:textId="77777777" w:rsidR="00612435" w:rsidRPr="00612435" w:rsidRDefault="00612435" w:rsidP="00612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1243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 FINANCIRANJA:</w:t>
            </w:r>
            <w:r w:rsidRPr="0061243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Donacije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B0CE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A817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6592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6DE3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8EFD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562C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5F055BD1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7CCE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61243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AB20" w14:textId="77777777" w:rsidR="00612435" w:rsidRPr="00612435" w:rsidRDefault="00612435" w:rsidP="00612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61243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EBE9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3A4F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D65D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89A1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CF61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8D87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2DC2DEC4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542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12435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B70A" w14:textId="77777777" w:rsidR="00612435" w:rsidRPr="00612435" w:rsidRDefault="00612435" w:rsidP="0061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12435">
              <w:rPr>
                <w:rFonts w:ascii="Calibri" w:eastAsia="Times New Roman" w:hAnsi="Calibri" w:cs="Calibri"/>
                <w:color w:val="000000"/>
                <w:lang w:eastAsia="hr-HR"/>
              </w:rPr>
              <w:t>Rashodi za zaposlene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9DC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12435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4960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CCC2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1022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C9A6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BAA5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75ED5AF4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E0A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12435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F47E4" w14:textId="77777777" w:rsidR="00612435" w:rsidRPr="00612435" w:rsidRDefault="00612435" w:rsidP="0061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12435">
              <w:rPr>
                <w:rFonts w:ascii="Calibri" w:eastAsia="Times New Roman" w:hAnsi="Calibri" w:cs="Calibri"/>
                <w:color w:val="000000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B02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12435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3EB2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1EA2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094B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4F87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C762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172F6161" w14:textId="77777777" w:rsidTr="00612435">
        <w:trPr>
          <w:trHeight w:val="1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49F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K779040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54EF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AKTIVNOST: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OPERATIVNI PROGRAM KONKURENTNOST I KOHEZIJA, Prioritet 6-Povećanje privlačnosti, edukacijskog kapaciteta i održivog upravljanja odredištima prirodne baštine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0243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1.738.334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B736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1.412.019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7338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168B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BDD3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1AC6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436A000D" w14:textId="77777777" w:rsidTr="00612435">
        <w:trPr>
          <w:trHeight w:val="49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7930B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C772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FINANCIRANJA:</w:t>
            </w: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Fondovi EU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0079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1.738.334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078B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1.412.019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3A8D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05DC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596.000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B4F5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EF28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2CD97C28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CD9C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C02C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5446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77.734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E1D41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5076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ABF0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E847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CDA2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27D5B488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E5B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9FDC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2708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28D1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C1DE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3D94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3084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262D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4DDE901C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9F9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64EA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729C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77.734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B20D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7DEF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1F4D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B862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70F3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320A747E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5CC2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6F78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B252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C81A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80BD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AF4EB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2D5F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6D1C7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6DB54529" w14:textId="77777777" w:rsidTr="00612435">
        <w:trPr>
          <w:trHeight w:val="29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3DE44" w14:textId="77777777" w:rsidR="00612435" w:rsidRPr="00612435" w:rsidRDefault="00612435" w:rsidP="00612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A989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ED23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1.660.600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3AC4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1.292.019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5C66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98C1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F9E4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6E61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7FB7F84F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B231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0FAE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F4B2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116.851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2A87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62895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FDB4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142.000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C3C70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7620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454C6F7A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EC34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6A52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AA70D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1.249.706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780B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692.019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15148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8138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363.000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293E9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1385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612435" w:rsidRPr="00612435" w14:paraId="0B34A1C1" w14:textId="77777777" w:rsidTr="00612435">
        <w:trPr>
          <w:trHeight w:val="30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626E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D7E6" w14:textId="77777777" w:rsidR="00612435" w:rsidRPr="00612435" w:rsidRDefault="00612435" w:rsidP="006124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8666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294.043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D3AB6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221EC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C315A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E22A3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391FF" w14:textId="77777777" w:rsidR="00612435" w:rsidRPr="00612435" w:rsidRDefault="00612435" w:rsidP="006124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270BD9A0" w14:textId="77777777" w:rsidR="0095373C" w:rsidRPr="001B0756" w:rsidRDefault="0095373C" w:rsidP="0095373C">
      <w:pPr>
        <w:rPr>
          <w:lang w:eastAsia="hr-HR"/>
        </w:rPr>
      </w:pPr>
    </w:p>
    <w:tbl>
      <w:tblPr>
        <w:tblW w:w="3640" w:type="dxa"/>
        <w:tblInd w:w="9801" w:type="dxa"/>
        <w:tblLook w:val="04A0" w:firstRow="1" w:lastRow="0" w:firstColumn="1" w:lastColumn="0" w:noHBand="0" w:noVBand="1"/>
      </w:tblPr>
      <w:tblGrid>
        <w:gridCol w:w="3640"/>
      </w:tblGrid>
      <w:tr w:rsidR="0095373C" w:rsidRPr="00ED0907" w14:paraId="3BD18FA3" w14:textId="77777777" w:rsidTr="003002AF">
        <w:trPr>
          <w:trHeight w:val="34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92A6F" w14:textId="77777777" w:rsidR="0095373C" w:rsidRDefault="00A01C26" w:rsidP="009537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33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i/>
                <w:iCs/>
                <w:color w:val="003300"/>
                <w:sz w:val="24"/>
                <w:szCs w:val="24"/>
                <w:lang w:eastAsia="hr-HR"/>
              </w:rPr>
              <w:t>Predsjednica Upravnog vijeća:</w:t>
            </w:r>
          </w:p>
          <w:p w14:paraId="0CA89E67" w14:textId="37474830" w:rsidR="00A01C26" w:rsidRPr="00ED0907" w:rsidRDefault="00A01C26" w:rsidP="009537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3300"/>
                <w:sz w:val="24"/>
                <w:szCs w:val="24"/>
                <w:lang w:eastAsia="hr-HR"/>
              </w:rPr>
            </w:pPr>
          </w:p>
        </w:tc>
      </w:tr>
      <w:tr w:rsidR="0095373C" w:rsidRPr="00ED0907" w14:paraId="600653D5" w14:textId="77777777" w:rsidTr="0095373C">
        <w:trPr>
          <w:trHeight w:val="34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3F39" w14:textId="77777777" w:rsidR="0095373C" w:rsidRPr="00ED0907" w:rsidRDefault="0095373C" w:rsidP="0095373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003300"/>
                <w:sz w:val="24"/>
                <w:szCs w:val="24"/>
                <w:lang w:eastAsia="hr-HR"/>
              </w:rPr>
            </w:pPr>
            <w:r w:rsidRPr="00ED0907">
              <w:rPr>
                <w:rFonts w:ascii="Calibri" w:eastAsia="Times New Roman" w:hAnsi="Calibri" w:cs="Arial"/>
                <w:b/>
                <w:bCs/>
                <w:i/>
                <w:iCs/>
                <w:color w:val="003300"/>
                <w:sz w:val="24"/>
                <w:szCs w:val="24"/>
                <w:lang w:eastAsia="hr-HR"/>
              </w:rPr>
              <w:t>Anamarija Matak, dipl. ing. kem.</w:t>
            </w:r>
          </w:p>
        </w:tc>
      </w:tr>
    </w:tbl>
    <w:p w14:paraId="523C0D20" w14:textId="77777777" w:rsidR="00ED0907" w:rsidRDefault="00ED0907" w:rsidP="006344CD">
      <w:pPr>
        <w:sectPr w:rsidR="00ED090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4D07431" w14:textId="6391D8B1" w:rsidR="009624D6" w:rsidRDefault="00A563D1" w:rsidP="005C2982">
      <w:pPr>
        <w:pStyle w:val="Heading1"/>
        <w:ind w:left="426" w:hanging="426"/>
        <w:jc w:val="both"/>
      </w:pPr>
      <w:bookmarkStart w:id="20" w:name="_Toc495930798"/>
      <w:bookmarkStart w:id="21" w:name="_Toc495932295"/>
      <w:r>
        <w:lastRenderedPageBreak/>
        <w:t xml:space="preserve"> </w:t>
      </w:r>
      <w:bookmarkStart w:id="22" w:name="_Toc153441153"/>
      <w:r w:rsidR="002016D4">
        <w:t xml:space="preserve">Bilješke uz </w:t>
      </w:r>
      <w:r w:rsidR="00941765">
        <w:t xml:space="preserve">I. Izmjene i dopune </w:t>
      </w:r>
      <w:r w:rsidR="004331B3">
        <w:t>Financijsk</w:t>
      </w:r>
      <w:r w:rsidR="00941765">
        <w:t>og</w:t>
      </w:r>
      <w:r w:rsidR="004331B3">
        <w:t xml:space="preserve"> plan</w:t>
      </w:r>
      <w:r w:rsidR="00941765">
        <w:t>a</w:t>
      </w:r>
      <w:r w:rsidR="00BC6AB5">
        <w:t xml:space="preserve"> 202</w:t>
      </w:r>
      <w:r w:rsidR="00DA5C39">
        <w:t>4</w:t>
      </w:r>
      <w:r w:rsidR="00BC6AB5">
        <w:t>. – 202</w:t>
      </w:r>
      <w:r w:rsidR="00DA5C39">
        <w:t>6</w:t>
      </w:r>
      <w:r w:rsidR="002016D4">
        <w:t xml:space="preserve">. godine </w:t>
      </w:r>
      <w:bookmarkStart w:id="23" w:name="_Toc495930799"/>
      <w:bookmarkStart w:id="24" w:name="_Toc495932296"/>
      <w:bookmarkEnd w:id="20"/>
      <w:bookmarkEnd w:id="21"/>
      <w:r w:rsidR="002016D4">
        <w:t>Javne ustanove „Nacionalni park Krka“</w:t>
      </w:r>
      <w:bookmarkEnd w:id="22"/>
      <w:bookmarkEnd w:id="23"/>
      <w:bookmarkEnd w:id="24"/>
    </w:p>
    <w:p w14:paraId="2C066766" w14:textId="77777777" w:rsidR="009624D6" w:rsidRDefault="009624D6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0CB9879A" w14:textId="77777777" w:rsidR="009624D6" w:rsidRDefault="002016D4" w:rsidP="005C2982">
      <w:pPr>
        <w:pStyle w:val="Heading2"/>
        <w:numPr>
          <w:ilvl w:val="0"/>
          <w:numId w:val="6"/>
        </w:numPr>
        <w:ind w:left="709" w:hanging="283"/>
      </w:pPr>
      <w:bookmarkStart w:id="25" w:name="_Toc495932297"/>
      <w:bookmarkStart w:id="26" w:name="_Toc495930800"/>
      <w:bookmarkStart w:id="27" w:name="_Toc153441154"/>
      <w:r>
        <w:t>Uvod</w:t>
      </w:r>
      <w:bookmarkEnd w:id="25"/>
      <w:bookmarkEnd w:id="26"/>
      <w:bookmarkEnd w:id="27"/>
    </w:p>
    <w:p w14:paraId="4493E6BA" w14:textId="77777777" w:rsidR="009624D6" w:rsidRDefault="009624D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790747DB" w14:textId="77777777" w:rsidR="009624D6" w:rsidRDefault="009624D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14:paraId="275C980B" w14:textId="77777777" w:rsidR="009624D6" w:rsidRDefault="002016D4">
      <w:pPr>
        <w:jc w:val="both"/>
      </w:pPr>
      <w:r>
        <w:t>Djelatnost Javne ustanove „Nacionalni park Krka“ je zaštita, održavanje i promicanje Parka u cilju zaštite i očuvanja izvornosti prirode, osiguravanja neometanog odvijanja prirodnih procesa i održivog korištenja prirodnih dobara te nadzor nad provođenjem uvjeta i mjera zaštite prirode na području kojim upravlja u skladu sa zakonom. Obavljanje djelatnosti podrazumijeva:</w:t>
      </w:r>
    </w:p>
    <w:p w14:paraId="26419EA9" w14:textId="77777777" w:rsidR="009624D6" w:rsidRDefault="002016D4">
      <w:pPr>
        <w:jc w:val="both"/>
      </w:pPr>
      <w:r>
        <w:t>• poslove neposredne zaštite i nadzora područja Nacionalnog parka</w:t>
      </w:r>
      <w:r w:rsidR="004331B3">
        <w:t>,</w:t>
      </w:r>
    </w:p>
    <w:p w14:paraId="3E7089DE" w14:textId="77777777" w:rsidR="009624D6" w:rsidRDefault="002016D4">
      <w:pPr>
        <w:jc w:val="both"/>
      </w:pPr>
      <w:r>
        <w:t>• stručni nadzor nad pravnim i fizičkim osobama koje obavljaju dopuštene djelatnosti u Nacionalnom parku u skladu sa zakonom</w:t>
      </w:r>
      <w:r w:rsidR="004331B3">
        <w:t>,</w:t>
      </w:r>
    </w:p>
    <w:p w14:paraId="7E65E6A2" w14:textId="77777777" w:rsidR="009624D6" w:rsidRDefault="002016D4">
      <w:pPr>
        <w:jc w:val="both"/>
      </w:pPr>
      <w:r>
        <w:t>• turističku djelatnost, prihvat, informiranje, stručno vođenje i prijevoz posjetitelja Nacionalnog parka</w:t>
      </w:r>
      <w:r w:rsidR="004331B3">
        <w:t>,</w:t>
      </w:r>
    </w:p>
    <w:p w14:paraId="264DBEA7" w14:textId="77777777" w:rsidR="009624D6" w:rsidRDefault="002016D4">
      <w:pPr>
        <w:jc w:val="both"/>
      </w:pPr>
      <w:r>
        <w:t>• interpretaciju i edukaciju posjetitelja i lokalnog stanovništva</w:t>
      </w:r>
      <w:r w:rsidR="004331B3">
        <w:t>,</w:t>
      </w:r>
    </w:p>
    <w:p w14:paraId="0F97D26E" w14:textId="77777777" w:rsidR="009624D6" w:rsidRDefault="002016D4">
      <w:pPr>
        <w:jc w:val="both"/>
      </w:pPr>
      <w:r>
        <w:t>• promicanje odgoja i obrazovanja o zaštiti prirode u Nacionalnom parku, promicanje znanstveno-istraživačkog rada u Nacionalnom parku i organizaciju znanstvenih i stručnih skupova</w:t>
      </w:r>
      <w:r w:rsidR="004331B3">
        <w:t>,</w:t>
      </w:r>
    </w:p>
    <w:p w14:paraId="4E707D8F" w14:textId="77777777" w:rsidR="009624D6" w:rsidRDefault="002016D4">
      <w:pPr>
        <w:jc w:val="both"/>
      </w:pPr>
      <w:r>
        <w:t>• ostale poslove propisane Zakonom, drugim propisima i Statutom.</w:t>
      </w:r>
    </w:p>
    <w:p w14:paraId="0C276B30" w14:textId="21E3A69E" w:rsidR="004638C5" w:rsidRDefault="004638C5" w:rsidP="004638C5">
      <w:pPr>
        <w:jc w:val="both"/>
      </w:pPr>
      <w:r>
        <w:t>Prijedlog I. Izmjena i dopuna Financijskog plana Javne ustanove „Nacionalni park Krka“ za 2024.  godinu izrađen je sukladno Zakonu o proračunu i Uputama Ministarstva financija</w:t>
      </w:r>
    </w:p>
    <w:p w14:paraId="5F47D465" w14:textId="2BBB6225" w:rsidR="004638C5" w:rsidRDefault="004638C5" w:rsidP="004638C5">
      <w:pPr>
        <w:jc w:val="both"/>
      </w:pPr>
      <w:r>
        <w:t>Prijedlog I. Izmjena i dopuna Financijskog plana</w:t>
      </w:r>
      <w:r w:rsidRPr="002016D4">
        <w:t xml:space="preserve"> Javne ustanove „Nacionalni park Krka“ za 202</w:t>
      </w:r>
      <w:r>
        <w:t>4</w:t>
      </w:r>
      <w:r w:rsidRPr="002016D4">
        <w:t xml:space="preserve">. godinu </w:t>
      </w:r>
      <w:r>
        <w:t>usvaja se na trećoj razini po izvorima financiranja dok se projekcije usvajaju na drugoj razini.</w:t>
      </w:r>
    </w:p>
    <w:p w14:paraId="61AC1D3A" w14:textId="068B3F38" w:rsidR="004638C5" w:rsidRDefault="004638C5" w:rsidP="004638C5">
      <w:pPr>
        <w:jc w:val="both"/>
      </w:pPr>
      <w:r>
        <w:t xml:space="preserve">Prijedlog I. Izmjena i dopuna Financijskog plana izrađen je na temelju prijedloga Godišnjeg programa zaštite, održavanja, očuvanja, promicanja i korištenja Nacionalnog parka „Krka“ za 2024. godinu te Plana upravljanja koji određuje razvojne smjernice, način izvođenja zaštite, korištenja i upravljanja zaštićenim područjima te pobliže smjernice za zaštitu i očuvanje prirodnih vrijednosti zaštićenog područja uz uvažavanje potreba lokalnog stanovništva.  </w:t>
      </w:r>
    </w:p>
    <w:p w14:paraId="3D91C881" w14:textId="77777777" w:rsidR="009624D6" w:rsidRDefault="002016D4" w:rsidP="00AD53FA">
      <w:pPr>
        <w:jc w:val="both"/>
        <w:rPr>
          <w:rFonts w:eastAsia="Times New Roman" w:cs="Times New Roman"/>
          <w:sz w:val="24"/>
          <w:szCs w:val="24"/>
        </w:rPr>
      </w:pPr>
      <w:r>
        <w:t>Sukladno Zakonu o proračunu osnovna postavka plana je načelo uravnoteženosti odnosno planirani rashodi odgovaraju planiranim prihodima</w:t>
      </w:r>
      <w:r w:rsidR="005C2982">
        <w:t>, a</w:t>
      </w:r>
      <w:r>
        <w:t xml:space="preserve"> koji su napravljeni na temelju planiranih aktivnosti i ostvar</w:t>
      </w:r>
      <w:r w:rsidR="00BC6AB5">
        <w:t>enih rezultata poslovanja u 202</w:t>
      </w:r>
      <w:r w:rsidR="00DA5C39">
        <w:t>3</w:t>
      </w:r>
      <w:r w:rsidR="008A4B5D">
        <w:t>. godini te planiranih aktivnosti za 202</w:t>
      </w:r>
      <w:r w:rsidR="00DA5C39">
        <w:t>4</w:t>
      </w:r>
      <w:r w:rsidR="008A4B5D">
        <w:t xml:space="preserve">. </w:t>
      </w:r>
      <w:r w:rsidR="00CD667F">
        <w:t>– 202</w:t>
      </w:r>
      <w:r w:rsidR="00DA5C39">
        <w:t>6</w:t>
      </w:r>
      <w:r w:rsidR="00CD667F">
        <w:t xml:space="preserve">. </w:t>
      </w:r>
      <w:r w:rsidR="008A4B5D">
        <w:t>godinu.</w:t>
      </w:r>
    </w:p>
    <w:p w14:paraId="1CC5E16B" w14:textId="77777777" w:rsidR="009624D6" w:rsidRDefault="009624D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6E659691" w14:textId="77777777" w:rsidR="009624D6" w:rsidRDefault="009624D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4A4E2A91" w14:textId="77777777" w:rsidR="009624D6" w:rsidRDefault="009624D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33C3DA1D" w14:textId="77777777" w:rsidR="004331B3" w:rsidRDefault="004331B3">
      <w:pPr>
        <w:rPr>
          <w:rFonts w:asciiTheme="majorHAnsi" w:eastAsia="Times New Roman" w:hAnsiTheme="majorHAnsi" w:cs="Times New Roman"/>
          <w:b/>
          <w:i/>
          <w:sz w:val="28"/>
          <w:szCs w:val="28"/>
          <w:lang w:eastAsia="hr-HR"/>
        </w:rPr>
      </w:pPr>
      <w:bookmarkStart w:id="28" w:name="_Toc495932298"/>
      <w:bookmarkStart w:id="29" w:name="_Toc495930801"/>
      <w:r>
        <w:br w:type="page"/>
      </w:r>
    </w:p>
    <w:p w14:paraId="7B93516A" w14:textId="77777777" w:rsidR="009624D6" w:rsidRDefault="002016D4" w:rsidP="00E538D8">
      <w:pPr>
        <w:pStyle w:val="Heading2"/>
        <w:ind w:left="709" w:hanging="283"/>
      </w:pPr>
      <w:bookmarkStart w:id="30" w:name="_Toc153441155"/>
      <w:r>
        <w:lastRenderedPageBreak/>
        <w:t>Obrazloženje programa</w:t>
      </w:r>
      <w:bookmarkEnd w:id="28"/>
      <w:bookmarkEnd w:id="29"/>
      <w:bookmarkEnd w:id="30"/>
    </w:p>
    <w:p w14:paraId="5DA74944" w14:textId="77777777" w:rsidR="009624D6" w:rsidRDefault="009624D6"/>
    <w:p w14:paraId="75B295FC" w14:textId="77777777" w:rsidR="005459E8" w:rsidRDefault="002016D4" w:rsidP="00DA5C39">
      <w:r>
        <w:t>Planirane aktivnosti su se provod</w:t>
      </w:r>
      <w:r w:rsidR="00296637">
        <w:t>e se</w:t>
      </w:r>
      <w:r>
        <w:t xml:space="preserve"> kroz program</w:t>
      </w:r>
      <w:r w:rsidR="00DA5C39">
        <w:t xml:space="preserve"> </w:t>
      </w:r>
      <w:r w:rsidR="00C710E4" w:rsidRPr="00C710E4">
        <w:t xml:space="preserve">Administracija i upravljanje </w:t>
      </w:r>
      <w:r w:rsidR="008A4B5D">
        <w:t>- A34301A77904</w:t>
      </w:r>
      <w:r w:rsidR="008C0DC3">
        <w:t>7</w:t>
      </w:r>
      <w:r w:rsidR="00DA5C39">
        <w:t>. P</w:t>
      </w:r>
      <w:r w:rsidR="005459E8">
        <w:t xml:space="preserve">rogram sastoji se od izvora </w:t>
      </w:r>
      <w:r w:rsidR="00540C14">
        <w:t xml:space="preserve">31 – Vlastiti prihodi, </w:t>
      </w:r>
      <w:r w:rsidR="005459E8">
        <w:t>43 – Ostali prihodi za posebne namjene i izvora 52 – Ostale pomoći.</w:t>
      </w:r>
    </w:p>
    <w:p w14:paraId="5F30CE0B" w14:textId="77777777" w:rsidR="009624D6" w:rsidRDefault="005459E8" w:rsidP="00251AB8">
      <w:pPr>
        <w:jc w:val="both"/>
      </w:pPr>
      <w:r>
        <w:t xml:space="preserve">Izvor </w:t>
      </w:r>
      <w:r w:rsidR="00540C14">
        <w:t xml:space="preserve">31 i </w:t>
      </w:r>
      <w:r>
        <w:t>43 se</w:t>
      </w:r>
      <w:r w:rsidR="002016D4">
        <w:t xml:space="preserve"> financira isključivo iz sredstava Javne ustanove „Nacionalni park Krka“. Izvori prihoda za financiranje ovog programa su prihodi od ulaznica, stručnog vođenja, radionica, prodaje suvenira, obavljanja ugostiteljske djelatnosti i ostalih usluga. Sve aktivnosti ovog programa usuglašene su s vizijom jer ona odražava bit i opstojnost Parka gleda</w:t>
      </w:r>
      <w:r w:rsidR="00403E02">
        <w:t>ne kroz prizmu održivog razvoja, a njihov detaljan prikaz dan je kroz prikaz rashoda Ustanove u sklopu ovih bilješki.</w:t>
      </w:r>
      <w:r w:rsidR="002016D4">
        <w:t xml:space="preserve"> </w:t>
      </w:r>
    </w:p>
    <w:p w14:paraId="6E5D729B" w14:textId="77777777" w:rsidR="00310349" w:rsidRDefault="00310349" w:rsidP="00251AB8">
      <w:pPr>
        <w:jc w:val="both"/>
      </w:pPr>
    </w:p>
    <w:tbl>
      <w:tblPr>
        <w:tblW w:w="9109" w:type="dxa"/>
        <w:tblInd w:w="-5" w:type="dxa"/>
        <w:tblLook w:val="04A0" w:firstRow="1" w:lastRow="0" w:firstColumn="1" w:lastColumn="0" w:noHBand="0" w:noVBand="1"/>
      </w:tblPr>
      <w:tblGrid>
        <w:gridCol w:w="1276"/>
        <w:gridCol w:w="2410"/>
        <w:gridCol w:w="992"/>
        <w:gridCol w:w="887"/>
        <w:gridCol w:w="843"/>
        <w:gridCol w:w="887"/>
        <w:gridCol w:w="927"/>
        <w:gridCol w:w="887"/>
      </w:tblGrid>
      <w:tr w:rsidR="00310349" w14:paraId="11D75011" w14:textId="77777777" w:rsidTr="007A4DA4">
        <w:trPr>
          <w:trHeight w:val="7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120292C2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Pokazatelji rezultata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07C4C611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22EF2663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Jedinica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4BA05DE2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 xml:space="preserve">Polazna/ </w:t>
            </w:r>
          </w:p>
          <w:p w14:paraId="623E9099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ostvarena</w:t>
            </w:r>
          </w:p>
          <w:p w14:paraId="153E3432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vrijednost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0E652A40" w14:textId="77777777" w:rsidR="00310349" w:rsidRDefault="00310349" w:rsidP="00C45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Izvor podataka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5A1282AF" w14:textId="77777777" w:rsidR="00310349" w:rsidRDefault="00310349" w:rsidP="0068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</w:t>
            </w:r>
            <w:r w:rsidR="00BB16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hr-HR"/>
              </w:rPr>
              <w:t>2</w:t>
            </w:r>
            <w:r w:rsidR="006830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hr-HR"/>
              </w:rPr>
              <w:t>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132C5E93" w14:textId="77777777" w:rsidR="00310349" w:rsidRDefault="00BB1636" w:rsidP="0068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202</w:t>
            </w:r>
            <w:r w:rsidR="006830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5</w:t>
            </w:r>
            <w:r w:rsidR="0031034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2834EF91" w14:textId="77777777" w:rsidR="00310349" w:rsidRDefault="00BB1636" w:rsidP="0068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202</w:t>
            </w:r>
            <w:r w:rsidR="006830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6</w:t>
            </w:r>
            <w:r w:rsidR="0031034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</w:tr>
      <w:tr w:rsidR="004F38E4" w14:paraId="557FC1D8" w14:textId="77777777" w:rsidTr="007A4DA4">
        <w:trPr>
          <w:trHeight w:val="9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74D1C" w14:textId="77777777" w:rsidR="004F38E4" w:rsidRPr="008A4B5D" w:rsidRDefault="004F38E4" w:rsidP="00460A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Godišnji Program zaštite, održavanja, očuvanja, promicanja i korištenja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CFBC" w14:textId="77777777" w:rsidR="004F38E4" w:rsidRPr="008A4B5D" w:rsidRDefault="004F38E4" w:rsidP="00BB16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Realizacija aktivnosti iz godišnjeg Programa zaštite, održavanja, očuvanja, promicanja i korištenja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F51B6" w14:textId="77777777" w:rsidR="004F38E4" w:rsidRPr="008A4B5D" w:rsidRDefault="004F38E4" w:rsidP="004F38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postotak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E9AF8" w14:textId="77777777" w:rsidR="004F38E4" w:rsidRPr="008A4B5D" w:rsidRDefault="004F38E4" w:rsidP="004F38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70%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BECA4" w14:textId="77777777" w:rsidR="004F38E4" w:rsidRPr="008A4B5D" w:rsidRDefault="004F38E4" w:rsidP="004F38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JU NP Krka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3388" w14:textId="77777777" w:rsidR="004F38E4" w:rsidRPr="008A4B5D" w:rsidRDefault="00265804" w:rsidP="002658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hr-HR"/>
              </w:rPr>
              <w:t>75</w:t>
            </w:r>
            <w:r w:rsidR="004F38E4" w:rsidRPr="008A4B5D">
              <w:rPr>
                <w:rFonts w:eastAsia="Times New Roman" w:cs="Times New Roman"/>
                <w:color w:val="000000"/>
                <w:sz w:val="16"/>
                <w:szCs w:val="16"/>
                <w:lang w:val="en-US" w:eastAsia="hr-HR"/>
              </w:rPr>
              <w:t>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CE3C" w14:textId="77777777" w:rsidR="004F38E4" w:rsidRPr="008A4B5D" w:rsidRDefault="004F38E4" w:rsidP="002658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8</w:t>
            </w:r>
            <w:r w:rsidR="00265804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0</w:t>
            </w:r>
            <w:r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%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A7DE" w14:textId="77777777" w:rsidR="004F38E4" w:rsidRPr="008A4B5D" w:rsidRDefault="00265804" w:rsidP="002658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85</w:t>
            </w:r>
            <w:r w:rsidR="004F38E4" w:rsidRPr="008A4B5D">
              <w:rPr>
                <w:rFonts w:eastAsia="Times New Roman" w:cs="Times New Roman"/>
                <w:color w:val="000000"/>
                <w:sz w:val="16"/>
                <w:szCs w:val="16"/>
                <w:lang w:val="sl-SI" w:eastAsia="hr-HR"/>
              </w:rPr>
              <w:t>%</w:t>
            </w:r>
          </w:p>
        </w:tc>
      </w:tr>
    </w:tbl>
    <w:p w14:paraId="213C5F47" w14:textId="77777777" w:rsidR="005459E8" w:rsidRDefault="005459E8" w:rsidP="00251AB8">
      <w:pPr>
        <w:jc w:val="both"/>
        <w:rPr>
          <w:rFonts w:ascii="Calibri" w:eastAsia="Times New Roman" w:hAnsi="Calibri" w:cs="Calibri"/>
          <w:b/>
          <w:sz w:val="16"/>
          <w:szCs w:val="16"/>
          <w:lang w:eastAsia="hr-HR"/>
        </w:rPr>
      </w:pPr>
    </w:p>
    <w:p w14:paraId="241FD82C" w14:textId="77777777" w:rsidR="00E550D0" w:rsidRDefault="00E550D0" w:rsidP="00E550D0">
      <w:pPr>
        <w:jc w:val="both"/>
        <w:rPr>
          <w:rFonts w:ascii="Calibri" w:eastAsia="Times New Roman" w:hAnsi="Calibri" w:cs="Calibri"/>
          <w:b/>
          <w:sz w:val="16"/>
          <w:szCs w:val="16"/>
          <w:lang w:eastAsia="hr-HR"/>
        </w:rPr>
      </w:pPr>
    </w:p>
    <w:p w14:paraId="74B4DE5B" w14:textId="77777777" w:rsidR="00E550D0" w:rsidRPr="008753B8" w:rsidRDefault="00E550D0" w:rsidP="00E550D0">
      <w:pPr>
        <w:jc w:val="both"/>
        <w:rPr>
          <w:rFonts w:eastAsia="Times New Roman" w:cs="Calibri"/>
          <w:lang w:eastAsia="hr-HR"/>
        </w:rPr>
      </w:pPr>
      <w:r w:rsidRPr="008753B8">
        <w:rPr>
          <w:rFonts w:eastAsia="Times New Roman" w:cs="Calibri"/>
          <w:lang w:val="sl-SI" w:eastAsia="hr-HR"/>
        </w:rPr>
        <w:t xml:space="preserve">Izvor 52 se uglavnom sastoji od projekta </w:t>
      </w:r>
      <w:r w:rsidRPr="008753B8">
        <w:rPr>
          <w:rFonts w:eastAsia="Times New Roman" w:cs="Calibri"/>
          <w:lang w:eastAsia="hr-HR"/>
        </w:rPr>
        <w:t>„LIFE CONTRA Ailanthus“ (kojm je nositelj Ministarstvo gospodarstva i održivog razvoja, a partneri, uz JU NP „Krka“, Vrtlar d.o.o. i JU „Priroda dubrovačko-neretvanska“).</w:t>
      </w:r>
    </w:p>
    <w:p w14:paraId="59C3491C" w14:textId="77777777" w:rsidR="00E550D0" w:rsidRPr="008753B8" w:rsidRDefault="00E550D0" w:rsidP="00E550D0">
      <w:pPr>
        <w:jc w:val="both"/>
        <w:rPr>
          <w:rFonts w:eastAsia="Times New Roman" w:cs="Calibri"/>
          <w:lang w:eastAsia="hr-HR"/>
        </w:rPr>
      </w:pPr>
      <w:r w:rsidRPr="008753B8">
        <w:rPr>
          <w:rFonts w:eastAsia="Times New Roman" w:cs="Calibri"/>
          <w:lang w:eastAsia="hr-HR"/>
        </w:rPr>
        <w:t>Ciljevi projekta „LIFE CONTRA Ailanthus“ su uspostavljanje kontrole pajasena u Natura 2000 područjima, prevencija daljnjeg unosa i širenja pajasena te razvoj nacionalnog protokola. Projekt će se provoditi između 2020. i 2025. godine. Ukupan predviđeni financijski okvir mu je 2.591.937 EUR od čega bi 1.555.161 EUR trebalo biti financirano od strane Europske unije, 352.145 EUR iz Fonda za zaštitu okoliša i energetsku učinkovitost, a 400.279 EUR od strane projektnih partnera. Predviđeni udio JU NP „Krka“ u ukupnom projektu</w:t>
      </w:r>
      <w:r w:rsidR="00B66799">
        <w:rPr>
          <w:rFonts w:eastAsia="Times New Roman" w:cs="Calibri"/>
          <w:lang w:eastAsia="hr-HR"/>
        </w:rPr>
        <w:t xml:space="preserve"> bi trebao biti 896.667 EUR, a</w:t>
      </w:r>
      <w:r w:rsidRPr="008753B8">
        <w:rPr>
          <w:rFonts w:eastAsia="Times New Roman" w:cs="Calibri"/>
          <w:lang w:eastAsia="hr-HR"/>
        </w:rPr>
        <w:t xml:space="preserve"> financiranju 222.102 EUR.</w:t>
      </w:r>
    </w:p>
    <w:tbl>
      <w:tblPr>
        <w:tblW w:w="9182" w:type="dxa"/>
        <w:tblInd w:w="-5" w:type="dxa"/>
        <w:tblLook w:val="04A0" w:firstRow="1" w:lastRow="0" w:firstColumn="1" w:lastColumn="0" w:noHBand="0" w:noVBand="1"/>
      </w:tblPr>
      <w:tblGrid>
        <w:gridCol w:w="1039"/>
        <w:gridCol w:w="2080"/>
        <w:gridCol w:w="1134"/>
        <w:gridCol w:w="1276"/>
        <w:gridCol w:w="992"/>
        <w:gridCol w:w="887"/>
        <w:gridCol w:w="887"/>
        <w:gridCol w:w="887"/>
      </w:tblGrid>
      <w:tr w:rsidR="00E550D0" w14:paraId="4580AFB0" w14:textId="77777777" w:rsidTr="00E958AB">
        <w:trPr>
          <w:trHeight w:val="79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33D8A159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Pokazatelji rezultata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18B29592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Definicija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noWrap/>
            <w:vAlign w:val="center"/>
          </w:tcPr>
          <w:p w14:paraId="1620CB66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0327B4DE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 xml:space="preserve">Polazna/ </w:t>
            </w:r>
          </w:p>
          <w:p w14:paraId="25524D97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ostvarena</w:t>
            </w:r>
          </w:p>
          <w:p w14:paraId="61776263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vrijednost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3C065A37" w14:textId="77777777" w:rsidR="00E550D0" w:rsidRDefault="00E550D0" w:rsidP="00E95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Izvor podataka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5ABFB92F" w14:textId="77777777" w:rsidR="00E550D0" w:rsidRDefault="00E550D0" w:rsidP="0068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hr-HR"/>
              </w:rPr>
              <w:t>2</w:t>
            </w:r>
            <w:r w:rsidR="006830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hr-HR"/>
              </w:rPr>
              <w:t>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08302BAD" w14:textId="77777777" w:rsidR="00E550D0" w:rsidRDefault="00E550D0" w:rsidP="0068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202</w:t>
            </w:r>
            <w:r w:rsidR="006830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8FD"/>
            <w:vAlign w:val="center"/>
          </w:tcPr>
          <w:p w14:paraId="3B083908" w14:textId="77777777" w:rsidR="00E550D0" w:rsidRDefault="00E550D0" w:rsidP="0068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Ciljana vrijednost 202</w:t>
            </w:r>
            <w:r w:rsidR="0068300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6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l-SI" w:eastAsia="hr-HR"/>
              </w:rPr>
              <w:t>.</w:t>
            </w:r>
          </w:p>
        </w:tc>
      </w:tr>
      <w:tr w:rsidR="00E550D0" w14:paraId="47947B6B" w14:textId="77777777" w:rsidTr="00E958AB">
        <w:trPr>
          <w:trHeight w:val="9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CD39" w14:textId="77777777" w:rsidR="00E550D0" w:rsidRDefault="00E550D0" w:rsidP="00E958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Projektne aktivnosti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FF30" w14:textId="77777777" w:rsidR="00E550D0" w:rsidRDefault="00E550D0" w:rsidP="00E958A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 xml:space="preserve">Realizane projektne aktivnosti projekta „LIFE CONTRA Ailanthus“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3BB77" w14:textId="77777777" w:rsidR="00E550D0" w:rsidRDefault="00E550D0" w:rsidP="00E958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B94C7" w14:textId="010F23F5" w:rsidR="00E550D0" w:rsidRDefault="00FE3685" w:rsidP="00FE368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 w:eastAsia="hr-HR"/>
              </w:rPr>
              <w:t>5</w:t>
            </w:r>
            <w:r w:rsidR="00265804">
              <w:rPr>
                <w:rFonts w:ascii="Calibri" w:hAnsi="Calibri"/>
                <w:color w:val="000000"/>
                <w:sz w:val="16"/>
                <w:szCs w:val="16"/>
                <w:lang w:val="en-US" w:eastAsia="hr-HR"/>
              </w:rPr>
              <w:t>5</w:t>
            </w:r>
            <w:r w:rsidR="00E550D0">
              <w:rPr>
                <w:rFonts w:ascii="Calibri" w:hAnsi="Calibri"/>
                <w:color w:val="000000"/>
                <w:sz w:val="16"/>
                <w:szCs w:val="16"/>
                <w:lang w:val="en-US" w:eastAsia="hr-HR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77A3F" w14:textId="77777777" w:rsidR="00E550D0" w:rsidRDefault="00E550D0" w:rsidP="00E958A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NP Krka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A8B6" w14:textId="3A264F11" w:rsidR="00E550D0" w:rsidRDefault="00FE3685" w:rsidP="00FE368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 w:eastAsia="hr-HR"/>
              </w:rPr>
              <w:t>85</w:t>
            </w:r>
            <w:r w:rsidR="00E550D0">
              <w:rPr>
                <w:rFonts w:ascii="Calibri" w:hAnsi="Calibri"/>
                <w:color w:val="000000"/>
                <w:sz w:val="16"/>
                <w:szCs w:val="16"/>
                <w:lang w:val="en-US" w:eastAsia="hr-HR"/>
              </w:rPr>
              <w:t>%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488D" w14:textId="1CCADC85" w:rsidR="00E550D0" w:rsidRDefault="00FE3685" w:rsidP="00FE368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100</w:t>
            </w:r>
            <w:r w:rsidR="00E550D0">
              <w:rPr>
                <w:rFonts w:ascii="Calibri" w:hAnsi="Calibri"/>
                <w:color w:val="000000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1B92" w14:textId="2C778404" w:rsidR="00E550D0" w:rsidRDefault="00FE3685" w:rsidP="00FE368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l-SI" w:eastAsia="hr-H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 w:eastAsia="hr-HR"/>
              </w:rPr>
              <w:t>0</w:t>
            </w:r>
          </w:p>
        </w:tc>
      </w:tr>
    </w:tbl>
    <w:p w14:paraId="264F875F" w14:textId="77777777" w:rsidR="009624D6" w:rsidRDefault="009624D6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14:paraId="540916A3" w14:textId="77777777" w:rsidR="00310349" w:rsidRDefault="00310349" w:rsidP="00BB1636">
      <w:pPr>
        <w:spacing w:after="0" w:line="240" w:lineRule="auto"/>
        <w:rPr>
          <w:rFonts w:eastAsia="Times New Roman" w:cs="Times New Roman"/>
          <w:bCs/>
        </w:rPr>
      </w:pPr>
    </w:p>
    <w:p w14:paraId="7BB63DDC" w14:textId="77777777" w:rsidR="00DA5C39" w:rsidRDefault="00DA5C39" w:rsidP="00BB1636">
      <w:pPr>
        <w:spacing w:after="0" w:line="240" w:lineRule="auto"/>
        <w:rPr>
          <w:rFonts w:eastAsia="Times New Roman" w:cs="Times New Roman"/>
          <w:bCs/>
        </w:rPr>
      </w:pPr>
    </w:p>
    <w:p w14:paraId="1970082D" w14:textId="77777777" w:rsidR="009624D6" w:rsidRDefault="009624D6">
      <w:pPr>
        <w:spacing w:after="0" w:line="240" w:lineRule="auto"/>
        <w:jc w:val="both"/>
        <w:rPr>
          <w:rFonts w:eastAsia="Times New Roman" w:cs="Times New Roman"/>
        </w:rPr>
      </w:pPr>
    </w:p>
    <w:p w14:paraId="79F66582" w14:textId="77777777" w:rsidR="009624D6" w:rsidRDefault="009624D6">
      <w:pPr>
        <w:spacing w:after="0" w:line="240" w:lineRule="auto"/>
        <w:jc w:val="both"/>
        <w:rPr>
          <w:rFonts w:eastAsia="Times New Roman" w:cs="Times New Roman"/>
        </w:rPr>
      </w:pPr>
    </w:p>
    <w:p w14:paraId="7CA13125" w14:textId="77777777" w:rsidR="009624D6" w:rsidRDefault="002016D4" w:rsidP="00E538D8">
      <w:pPr>
        <w:pStyle w:val="Heading2"/>
        <w:ind w:left="709" w:hanging="283"/>
      </w:pPr>
      <w:bookmarkStart w:id="31" w:name="_Toc495932311"/>
      <w:bookmarkStart w:id="32" w:name="_Toc495930814"/>
      <w:bookmarkStart w:id="33" w:name="_Toc153441156"/>
      <w:r>
        <w:lastRenderedPageBreak/>
        <w:t>Zakonske i druge pravne osnove na kojima se zasnivaju programi</w:t>
      </w:r>
      <w:bookmarkEnd w:id="31"/>
      <w:bookmarkEnd w:id="32"/>
      <w:bookmarkEnd w:id="33"/>
    </w:p>
    <w:p w14:paraId="4EE761A2" w14:textId="77777777" w:rsidR="009624D6" w:rsidRDefault="009624D6">
      <w:pPr>
        <w:jc w:val="both"/>
      </w:pPr>
    </w:p>
    <w:p w14:paraId="1D99742C" w14:textId="77777777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Zakon o zaštiti prirode (NN br. 80/13, 15/18, 14/19, 127/19)</w:t>
      </w:r>
    </w:p>
    <w:p w14:paraId="230A7A2D" w14:textId="77777777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Statut Javne ustanove „Nacionalni park Krka“</w:t>
      </w:r>
    </w:p>
    <w:p w14:paraId="63FDE10B" w14:textId="77777777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Pravilnik o unutarnjem redu Javne ustanove „Nacionalni park Krka“</w:t>
      </w:r>
    </w:p>
    <w:p w14:paraId="1DAF54E4" w14:textId="77777777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Zakon o proračunu (NN br. 144/21)</w:t>
      </w:r>
    </w:p>
    <w:p w14:paraId="6A5865E6" w14:textId="77777777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Uputa Ministarstva financija o načinu praćenja ostvarivanja i trošenja vlastitih i namjenskih prihoda i primitaka javnih ustanova nacionalnih parkova i parkova prirode planiranih u Državnom proračunu RH</w:t>
      </w:r>
    </w:p>
    <w:p w14:paraId="5C4A15CC" w14:textId="302337AA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Pravilnik o proračunskim klasifikacijama (NN br. 26/10, 120/13, 1/20</w:t>
      </w:r>
      <w:r w:rsidR="00C32C8E">
        <w:rPr>
          <w:rFonts w:asciiTheme="minorHAnsi" w:hAnsiTheme="minorHAnsi"/>
          <w:b w:val="0"/>
          <w:sz w:val="22"/>
        </w:rPr>
        <w:t>, 144/21</w:t>
      </w:r>
      <w:r w:rsidRPr="00D31DD2">
        <w:rPr>
          <w:rFonts w:asciiTheme="minorHAnsi" w:hAnsiTheme="minorHAnsi"/>
          <w:b w:val="0"/>
          <w:sz w:val="22"/>
        </w:rPr>
        <w:t>)</w:t>
      </w:r>
    </w:p>
    <w:p w14:paraId="21332CDF" w14:textId="360FE75E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Pravilnik o proračunskom računovodstvu i računskom planu (NN br. 124/14, 115/15, 87/16, 3/18, 126/19, 108/20</w:t>
      </w:r>
      <w:r w:rsidR="00C32C8E">
        <w:rPr>
          <w:rFonts w:asciiTheme="minorHAnsi" w:hAnsiTheme="minorHAnsi"/>
          <w:b w:val="0"/>
          <w:sz w:val="22"/>
        </w:rPr>
        <w:t>, 144/21</w:t>
      </w:r>
      <w:r w:rsidRPr="00D31DD2">
        <w:rPr>
          <w:rFonts w:asciiTheme="minorHAnsi" w:hAnsiTheme="minorHAnsi"/>
          <w:b w:val="0"/>
          <w:sz w:val="22"/>
        </w:rPr>
        <w:t>)</w:t>
      </w:r>
    </w:p>
    <w:p w14:paraId="434D20DB" w14:textId="77777777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Pravilnik o financijskom izvještavanju u proračunskom računovodstvu (NN br. 37/22)</w:t>
      </w:r>
    </w:p>
    <w:p w14:paraId="00F25418" w14:textId="7F25AA3C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Pravilnik o utvrđivanju proračunskih i izvanproračunskih korisnika državnog proračuna i proračunskih i izvanproračunskih korisnika proračuna jedinica lokalne i područne (regionalne) samouprave te o načinu vođenja Registra proračunskih i izvanproračunskih korisnika (NN br. 128/09, 142/14, 23/19 i 83/21</w:t>
      </w:r>
      <w:r w:rsidR="00C32C8E">
        <w:rPr>
          <w:rFonts w:asciiTheme="minorHAnsi" w:hAnsiTheme="minorHAnsi"/>
          <w:b w:val="0"/>
          <w:sz w:val="22"/>
        </w:rPr>
        <w:t>, 144/21</w:t>
      </w:r>
      <w:r w:rsidRPr="00D31DD2">
        <w:rPr>
          <w:rFonts w:asciiTheme="minorHAnsi" w:hAnsiTheme="minorHAnsi"/>
          <w:b w:val="0"/>
          <w:sz w:val="22"/>
        </w:rPr>
        <w:t>)</w:t>
      </w:r>
    </w:p>
    <w:p w14:paraId="6B90CAB9" w14:textId="085CCE0A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 xml:space="preserve">Pravilnik o polugodišnjem i godišnjem izvještaju o izvršenju proračuna (NN br. </w:t>
      </w:r>
      <w:r w:rsidR="002F321F">
        <w:rPr>
          <w:rFonts w:asciiTheme="minorHAnsi" w:hAnsiTheme="minorHAnsi"/>
          <w:b w:val="0"/>
          <w:sz w:val="22"/>
        </w:rPr>
        <w:t>85/23</w:t>
      </w:r>
      <w:r w:rsidRPr="00D31DD2">
        <w:rPr>
          <w:rFonts w:asciiTheme="minorHAnsi" w:hAnsiTheme="minorHAnsi"/>
          <w:b w:val="0"/>
          <w:sz w:val="22"/>
        </w:rPr>
        <w:t>)</w:t>
      </w:r>
    </w:p>
    <w:p w14:paraId="2CBE0948" w14:textId="1FB748C9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Zakon o fiskalnoj odgovornosti (NN br. 111/18</w:t>
      </w:r>
      <w:r w:rsidR="00C32C8E">
        <w:rPr>
          <w:rFonts w:asciiTheme="minorHAnsi" w:hAnsiTheme="minorHAnsi"/>
          <w:b w:val="0"/>
          <w:sz w:val="22"/>
        </w:rPr>
        <w:t>, 41/20, 83/23</w:t>
      </w:r>
      <w:r w:rsidRPr="00D31DD2">
        <w:rPr>
          <w:rFonts w:asciiTheme="minorHAnsi" w:hAnsiTheme="minorHAnsi"/>
          <w:b w:val="0"/>
          <w:sz w:val="22"/>
        </w:rPr>
        <w:t xml:space="preserve">) </w:t>
      </w:r>
    </w:p>
    <w:p w14:paraId="1176C7BB" w14:textId="77777777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Uredba o sastavljanju i predaji Izjave o fiskalnoj odgovornosti i izvještaja o primjeni fiskalnih pravila (NN br. 78/11, 106/12 i 130/13, 19/15, 111/18, 95/19)</w:t>
      </w:r>
    </w:p>
    <w:p w14:paraId="14D909BB" w14:textId="610DDB00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Zakon o ustanovama (NN br. 76/93, 29/97, 47/99, 35/08, 127/19</w:t>
      </w:r>
      <w:r w:rsidR="00C32C8E">
        <w:rPr>
          <w:rFonts w:asciiTheme="minorHAnsi" w:hAnsiTheme="minorHAnsi"/>
          <w:b w:val="0"/>
          <w:sz w:val="22"/>
        </w:rPr>
        <w:t>, 151/22</w:t>
      </w:r>
      <w:r w:rsidRPr="00D31DD2">
        <w:rPr>
          <w:rFonts w:asciiTheme="minorHAnsi" w:hAnsiTheme="minorHAnsi"/>
          <w:b w:val="0"/>
          <w:sz w:val="22"/>
        </w:rPr>
        <w:t>)</w:t>
      </w:r>
    </w:p>
    <w:p w14:paraId="655718A2" w14:textId="77777777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Plan upravljanja Javne ustanove „Nacionalni park Krka“</w:t>
      </w:r>
    </w:p>
    <w:p w14:paraId="5958E68D" w14:textId="7FC3C15C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>Godišnji program zaštite, održavanja, očuvanja, promicanja i korištenja Nacionalnog parka „Krka“  za 202</w:t>
      </w:r>
      <w:r w:rsidR="00FE3685">
        <w:rPr>
          <w:rFonts w:asciiTheme="minorHAnsi" w:hAnsiTheme="minorHAnsi"/>
          <w:b w:val="0"/>
          <w:sz w:val="22"/>
        </w:rPr>
        <w:t>4</w:t>
      </w:r>
      <w:r w:rsidRPr="00D31DD2">
        <w:rPr>
          <w:rFonts w:asciiTheme="minorHAnsi" w:hAnsiTheme="minorHAnsi"/>
          <w:b w:val="0"/>
          <w:sz w:val="22"/>
        </w:rPr>
        <w:t xml:space="preserve">. godinu </w:t>
      </w:r>
    </w:p>
    <w:p w14:paraId="4291980C" w14:textId="77777777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 xml:space="preserve">Članak 45. stavak 6. Zakona o regionalnom razvoju Republike Hrvatske (Narodne novine, broj 147/14, 123/17, 118/18), </w:t>
      </w:r>
    </w:p>
    <w:p w14:paraId="6682E29E" w14:textId="77777777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 xml:space="preserve">Odluka Vlade Republike Hrvatske o visini naknade, načinu isplate kao i prihvatljivim troškovima za korištenje naknade zbog zaštićenih prirodnih područja (Narodne novine, broj 102/15), </w:t>
      </w:r>
    </w:p>
    <w:p w14:paraId="463CB492" w14:textId="03F511EB" w:rsidR="00D31DD2" w:rsidRPr="00D31DD2" w:rsidRDefault="00D31DD2" w:rsidP="00D31DD2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 w:val="0"/>
          <w:sz w:val="22"/>
        </w:rPr>
      </w:pPr>
      <w:r w:rsidRPr="00D31DD2">
        <w:rPr>
          <w:rFonts w:asciiTheme="minorHAnsi" w:hAnsiTheme="minorHAnsi"/>
          <w:b w:val="0"/>
          <w:sz w:val="22"/>
        </w:rPr>
        <w:t xml:space="preserve">Pravilnik o mjerilima i načinu korištenja donacija i vlastitih prihoda nacionalnih parkova i parkova prirode (Narodne novine, broj </w:t>
      </w:r>
      <w:r w:rsidR="00C32C8E">
        <w:rPr>
          <w:rFonts w:asciiTheme="minorHAnsi" w:hAnsiTheme="minorHAnsi"/>
          <w:b w:val="0"/>
          <w:sz w:val="22"/>
        </w:rPr>
        <w:t>111</w:t>
      </w:r>
      <w:r w:rsidRPr="00D31DD2">
        <w:rPr>
          <w:rFonts w:asciiTheme="minorHAnsi" w:hAnsiTheme="minorHAnsi"/>
          <w:b w:val="0"/>
          <w:sz w:val="22"/>
        </w:rPr>
        <w:t>/2</w:t>
      </w:r>
      <w:r w:rsidR="00C32C8E">
        <w:rPr>
          <w:rFonts w:asciiTheme="minorHAnsi" w:hAnsiTheme="minorHAnsi"/>
          <w:b w:val="0"/>
          <w:sz w:val="22"/>
        </w:rPr>
        <w:t>2</w:t>
      </w:r>
      <w:r w:rsidRPr="00D31DD2">
        <w:rPr>
          <w:rFonts w:asciiTheme="minorHAnsi" w:hAnsiTheme="minorHAnsi"/>
          <w:b w:val="0"/>
          <w:sz w:val="22"/>
        </w:rPr>
        <w:t>).</w:t>
      </w:r>
    </w:p>
    <w:p w14:paraId="21E81178" w14:textId="77777777" w:rsidR="00D31DD2" w:rsidRPr="00CD667F" w:rsidRDefault="00D31DD2" w:rsidP="00CD667F">
      <w:pPr>
        <w:jc w:val="both"/>
      </w:pPr>
      <w:r w:rsidRPr="00CD667F">
        <w:t xml:space="preserve">Osnovni pravni propis kojim se uređuje sustav zaštite i cjelovitog očuvanja prirode i njezinih vrijednosti je Zakon o zaštiti prirode (NN 80/13, 15/18, 14/19, 127/19). Njime su definirane kategorije zaštićenih područja, nadležne ustanove te osnovni dokumenti o upravljanju zaštićenim područjima. Na temelju Zakona nacionalnim parkovima i parkovima prirode upravljaju Javne ustanove, koje osniva Vlada Republike Hrvatske. Upravljanje zaštićenim područjem definirano je člankom 138., koji propisuje obvezu donošenja plana upravljanja. </w:t>
      </w:r>
    </w:p>
    <w:p w14:paraId="5EF2E68F" w14:textId="77777777" w:rsidR="00D31DD2" w:rsidRPr="00CD667F" w:rsidRDefault="00D31DD2" w:rsidP="00CD667F">
      <w:pPr>
        <w:jc w:val="both"/>
      </w:pPr>
      <w:r w:rsidRPr="00CD667F">
        <w:t>Pored plana upravljanja i godišnjih programa, upravljanje zaštićenim područjima regulirano je i Pravilnikom o unutarnjem redu, kojim su definirana pitanja i mjere zaštite, očuvanja i unaprjeđenja i korištenja zaštićenih područja.</w:t>
      </w:r>
    </w:p>
    <w:p w14:paraId="2783DE1B" w14:textId="77777777" w:rsidR="009624D6" w:rsidRDefault="009624D6">
      <w:pPr>
        <w:spacing w:after="0" w:line="240" w:lineRule="auto"/>
        <w:jc w:val="both"/>
        <w:rPr>
          <w:rFonts w:ascii="Times New Roman" w:eastAsia="HelveticaNeueCE-Thin" w:hAnsi="Times New Roman" w:cs="Times New Roman"/>
          <w:b/>
          <w:sz w:val="28"/>
          <w:szCs w:val="28"/>
          <w:lang w:eastAsia="hr-HR"/>
        </w:rPr>
      </w:pPr>
    </w:p>
    <w:p w14:paraId="08EC89B4" w14:textId="77777777" w:rsidR="009624D6" w:rsidRDefault="006953ED" w:rsidP="00E538D8">
      <w:pPr>
        <w:pStyle w:val="Heading2"/>
        <w:ind w:left="709" w:hanging="283"/>
        <w:rPr>
          <w:rFonts w:eastAsia="HelveticaNeueCE-Thin"/>
        </w:rPr>
      </w:pPr>
      <w:bookmarkStart w:id="34" w:name="_Toc495930815"/>
      <w:bookmarkStart w:id="35" w:name="_Toc495932312"/>
      <w:bookmarkStart w:id="36" w:name="_Toc153441157"/>
      <w:r>
        <w:rPr>
          <w:rFonts w:eastAsia="HelveticaNeueCE-Thin"/>
        </w:rPr>
        <w:lastRenderedPageBreak/>
        <w:t>Usklađeni ciljevi i</w:t>
      </w:r>
      <w:r w:rsidR="002016D4">
        <w:rPr>
          <w:rFonts w:eastAsia="HelveticaNeueCE-Thin"/>
        </w:rPr>
        <w:t xml:space="preserve"> strategije s programima dugoročnog razvoja</w:t>
      </w:r>
      <w:bookmarkEnd w:id="34"/>
      <w:bookmarkEnd w:id="35"/>
      <w:bookmarkEnd w:id="36"/>
    </w:p>
    <w:p w14:paraId="756B7456" w14:textId="77777777" w:rsidR="009624D6" w:rsidRDefault="009624D6"/>
    <w:p w14:paraId="365AFF0E" w14:textId="77777777" w:rsidR="009624D6" w:rsidRDefault="002016D4">
      <w:pPr>
        <w:jc w:val="both"/>
      </w:pPr>
      <w:r>
        <w:t>Upravljanje strogim rezervatom, nacionalnim parkom, parkom prirode, regionalnim parkom, posebnim rezervatom i zaštićenim krajobrazom provodi se na temelju Plana upravljanja. Plan upravljanja donosi se za razdoblje od deset godina. Plan upravljanja određuje razvojne smjernice, način izvođenja zaštite,  korištenja i upravljanja zaštićenim područjem te pobliže smjernice za zaštitu i očuvanje prirodnih vrijednosti zaštićenog područja uz uvažavanje potreba lokalnog stanovništva. Pravne i fizičke osobe koje obavljaju djelatnosti u zaštićenom području dužne su se pridržavati Plana upravljanja.</w:t>
      </w:r>
      <w:r w:rsidR="006953ED">
        <w:t xml:space="preserve"> </w:t>
      </w:r>
      <w:r>
        <w:t xml:space="preserve">Nakon proteka razdoblja od pet godina analizira se provedba Plana upravljanja i ostvareni rezultati te se po potrebi obavlja revizija Plana upravljanja na način i u postupku kako je to propisano za njegovo donošenje. </w:t>
      </w:r>
    </w:p>
    <w:p w14:paraId="5BF780A5" w14:textId="77777777" w:rsidR="009624D6" w:rsidRDefault="002016D4">
      <w:pPr>
        <w:jc w:val="both"/>
      </w:pPr>
      <w:r>
        <w:t xml:space="preserve">Plan upravljanja donosi Upravno vijeće javne ustanove uz suglasnost Ministarstva </w:t>
      </w:r>
      <w:r w:rsidR="00765387">
        <w:t>gospodarstva i održivog razvoja</w:t>
      </w:r>
      <w:r>
        <w:t xml:space="preserve"> za razdoblje od deset godina. Sukladno Zakonu, Javna ustanova dužna je provesti javni uvid u prijedlog Plana upravljanja. Provedba Planova upravljanja vrši se kroz godišnje programe zaštite, očuvanja, korištenja i promicanja zaštićenog područja.</w:t>
      </w:r>
    </w:p>
    <w:p w14:paraId="410F1B80" w14:textId="1371A9DF" w:rsidR="009624D6" w:rsidRDefault="002016D4">
      <w:pPr>
        <w:jc w:val="both"/>
      </w:pPr>
      <w:r>
        <w:t>Osim Zakona o zaštiti prirode, pri izradi Plana upravljanja uzeti su u obzir svi važeći zakonski i podzakonski akti te dokumenti kojima se uređuje upravljanje zaštićenim p</w:t>
      </w:r>
      <w:r w:rsidR="004D2D6B">
        <w:t>odručjima. Iz Plana upravljanja</w:t>
      </w:r>
      <w:r>
        <w:t xml:space="preserve"> donosi se Godišnji program zaštite, održavanja, očuvanja, promicanja i korištenja </w:t>
      </w:r>
      <w:r w:rsidR="00E17C81">
        <w:t>Nacionalnog parka „Krka“ za 202</w:t>
      </w:r>
      <w:r w:rsidR="00C32C8E">
        <w:t>4</w:t>
      </w:r>
      <w:r>
        <w:t xml:space="preserve">. godinu na temelju kojeg se donosi Financijski plan za trogodišnje razdoblje. Dugoročni ciljevi definirani u Planu upravljanja usklađeni su s pokazateljima rezultata u </w:t>
      </w:r>
      <w:r w:rsidR="00F037C9">
        <w:t xml:space="preserve">prijedlogu </w:t>
      </w:r>
      <w:r>
        <w:t>Financijsko</w:t>
      </w:r>
      <w:r w:rsidR="00F037C9">
        <w:t>g</w:t>
      </w:r>
      <w:r>
        <w:t xml:space="preserve"> plan</w:t>
      </w:r>
      <w:r w:rsidR="00F037C9">
        <w:t>a</w:t>
      </w:r>
      <w:r>
        <w:t xml:space="preserve"> JU NP Krka.</w:t>
      </w:r>
    </w:p>
    <w:p w14:paraId="7B9EC401" w14:textId="77777777" w:rsidR="00B04A26" w:rsidRDefault="00B04A26">
      <w:pPr>
        <w:jc w:val="both"/>
      </w:pPr>
    </w:p>
    <w:p w14:paraId="14D257A5" w14:textId="77777777" w:rsidR="00B04A26" w:rsidRDefault="00B04A26">
      <w:pPr>
        <w:jc w:val="both"/>
      </w:pPr>
    </w:p>
    <w:p w14:paraId="64792364" w14:textId="77777777" w:rsidR="00B04A26" w:rsidRDefault="00B04A26">
      <w:pPr>
        <w:jc w:val="both"/>
      </w:pPr>
    </w:p>
    <w:p w14:paraId="164F93FD" w14:textId="77777777" w:rsidR="00B04A26" w:rsidRDefault="00B04A26">
      <w:pPr>
        <w:jc w:val="both"/>
      </w:pPr>
    </w:p>
    <w:p w14:paraId="05ED1087" w14:textId="5B00763D" w:rsidR="00B04A26" w:rsidRDefault="00B04A26">
      <w:pPr>
        <w:jc w:val="both"/>
      </w:pPr>
    </w:p>
    <w:p w14:paraId="3BC4D94D" w14:textId="77777777" w:rsidR="00C32C8E" w:rsidRDefault="00C32C8E">
      <w:pPr>
        <w:jc w:val="both"/>
      </w:pPr>
    </w:p>
    <w:p w14:paraId="729FC6AF" w14:textId="77777777" w:rsidR="00B04A26" w:rsidRDefault="00B04A26">
      <w:pPr>
        <w:jc w:val="both"/>
      </w:pPr>
    </w:p>
    <w:p w14:paraId="769617E4" w14:textId="77777777" w:rsidR="00B04A26" w:rsidRDefault="00B04A26">
      <w:pPr>
        <w:jc w:val="both"/>
      </w:pPr>
    </w:p>
    <w:p w14:paraId="771F6A74" w14:textId="77777777" w:rsidR="00B04A26" w:rsidRDefault="00B04A26">
      <w:pPr>
        <w:jc w:val="both"/>
      </w:pPr>
    </w:p>
    <w:p w14:paraId="0B43E240" w14:textId="77777777" w:rsidR="00CD667F" w:rsidRDefault="00CD667F">
      <w:pPr>
        <w:jc w:val="both"/>
      </w:pPr>
    </w:p>
    <w:p w14:paraId="464B5956" w14:textId="77777777" w:rsidR="00CD667F" w:rsidRDefault="00CD667F">
      <w:pPr>
        <w:jc w:val="both"/>
      </w:pPr>
    </w:p>
    <w:p w14:paraId="53AF18E6" w14:textId="77777777" w:rsidR="009624D6" w:rsidRPr="0075598C" w:rsidRDefault="002016D4" w:rsidP="00E538D8">
      <w:pPr>
        <w:pStyle w:val="Heading2"/>
        <w:ind w:left="709" w:hanging="283"/>
        <w:jc w:val="both"/>
      </w:pPr>
      <w:bookmarkStart w:id="37" w:name="_Toc495932313"/>
      <w:bookmarkStart w:id="38" w:name="_Toc495930816"/>
      <w:bookmarkStart w:id="39" w:name="_Toc153441158"/>
      <w:r w:rsidRPr="0075598C">
        <w:lastRenderedPageBreak/>
        <w:t>Ishodište i pokazatelji na kojima se zasnivaju izračuni i ocjene potrebnih sredstava za provođenje programa</w:t>
      </w:r>
      <w:bookmarkEnd w:id="37"/>
      <w:bookmarkEnd w:id="38"/>
      <w:bookmarkEnd w:id="39"/>
    </w:p>
    <w:p w14:paraId="7F5B1587" w14:textId="77777777" w:rsidR="009624D6" w:rsidRDefault="009624D6">
      <w:pPr>
        <w:pStyle w:val="Heading2"/>
        <w:numPr>
          <w:ilvl w:val="0"/>
          <w:numId w:val="0"/>
        </w:numPr>
        <w:ind w:left="720"/>
      </w:pPr>
    </w:p>
    <w:p w14:paraId="6455E469" w14:textId="77777777" w:rsidR="009624D6" w:rsidRDefault="002016D4" w:rsidP="006953ED">
      <w:pPr>
        <w:pStyle w:val="Heading3"/>
        <w:numPr>
          <w:ilvl w:val="0"/>
          <w:numId w:val="0"/>
        </w:numPr>
        <w:ind w:left="993" w:hanging="284"/>
        <w:jc w:val="left"/>
        <w:rPr>
          <w:sz w:val="26"/>
          <w:szCs w:val="26"/>
        </w:rPr>
      </w:pPr>
      <w:bookmarkStart w:id="40" w:name="_Toc153441159"/>
      <w:r>
        <w:rPr>
          <w:sz w:val="26"/>
          <w:szCs w:val="26"/>
        </w:rPr>
        <w:t>5.</w:t>
      </w:r>
      <w:r w:rsidR="00CF64BC">
        <w:rPr>
          <w:sz w:val="26"/>
          <w:szCs w:val="26"/>
        </w:rPr>
        <w:t>1</w:t>
      </w:r>
      <w:r>
        <w:rPr>
          <w:sz w:val="26"/>
          <w:szCs w:val="26"/>
        </w:rPr>
        <w:t>. Prihodi</w:t>
      </w:r>
      <w:bookmarkEnd w:id="40"/>
    </w:p>
    <w:p w14:paraId="4E288076" w14:textId="77777777" w:rsidR="009624D6" w:rsidRDefault="009624D6">
      <w:pPr>
        <w:rPr>
          <w:b/>
        </w:rPr>
      </w:pPr>
    </w:p>
    <w:p w14:paraId="70DCAF69" w14:textId="0DBBE1E9" w:rsidR="00EB5E05" w:rsidRDefault="00EB5E05" w:rsidP="00EB5E05">
      <w:pPr>
        <w:jc w:val="both"/>
      </w:pPr>
      <w:r>
        <w:t xml:space="preserve">U prijedlogu I. Izmjena i dopuna Financijskog plana za 2023. godinu ukupni prihod je </w:t>
      </w:r>
      <w:r w:rsidR="00093DC8">
        <w:t xml:space="preserve">neznatno </w:t>
      </w:r>
      <w:r>
        <w:t>povećan i iznosi 20.</w:t>
      </w:r>
      <w:r w:rsidR="00093DC8">
        <w:t>7</w:t>
      </w:r>
      <w:r>
        <w:t>5</w:t>
      </w:r>
      <w:r w:rsidR="00093DC8">
        <w:t>3</w:t>
      </w:r>
      <w:r>
        <w:t>.</w:t>
      </w:r>
      <w:r w:rsidR="00093DC8">
        <w:t>345</w:t>
      </w:r>
      <w:r>
        <w:t xml:space="preserve"> eur</w:t>
      </w:r>
      <w:r>
        <w:rPr>
          <w:rFonts w:cstheme="minorHAnsi"/>
        </w:rPr>
        <w:t xml:space="preserve">, uglavnom zbog povećanja prihoda </w:t>
      </w:r>
      <w:r w:rsidR="00093DC8">
        <w:rPr>
          <w:rFonts w:cstheme="minorHAnsi"/>
        </w:rPr>
        <w:t>za EU projekte.</w:t>
      </w:r>
    </w:p>
    <w:p w14:paraId="5D42307A" w14:textId="3622C679" w:rsidR="00EB5E05" w:rsidRDefault="00EB5E05" w:rsidP="00EB5E05">
      <w:pPr>
        <w:jc w:val="both"/>
      </w:pPr>
      <w:r>
        <w:t>63 – tekuće pomoći od institucija i tijela EU: Ova skupina prihoda odnosi se na projekt „Nepoznata Krka – skrivena blaga gornjeg i srednjeg toka“ iz Operativnog programa „Konkurentnost i kohezija 2014. – 2020.“</w:t>
      </w:r>
      <w:r w:rsidR="00093DC8">
        <w:t xml:space="preserve">, </w:t>
      </w:r>
      <w:r>
        <w:t>projekta„</w:t>
      </w:r>
      <w:r w:rsidRPr="00DC0E25">
        <w:rPr>
          <w:rFonts w:eastAsia="Times New Roman" w:cs="Times New Roman"/>
        </w:rPr>
        <w:t xml:space="preserve">LIFE CONTRA Ailanthus“, </w:t>
      </w:r>
      <w:r w:rsidR="00093DC8">
        <w:rPr>
          <w:rFonts w:eastAsia="Times New Roman" w:cs="Times New Roman"/>
        </w:rPr>
        <w:t>te projekt Erasmus koji je JU NP Krka potpisala u svibnju 2024. godine</w:t>
      </w:r>
      <w:r>
        <w:rPr>
          <w:rFonts w:eastAsia="Times New Roman" w:cs="Times New Roman"/>
        </w:rPr>
        <w:t>. Ova kate</w:t>
      </w:r>
      <w:r>
        <w:t xml:space="preserve">gorija prihoda planirana je u iznosu </w:t>
      </w:r>
      <w:r w:rsidR="00093DC8">
        <w:t>876.345</w:t>
      </w:r>
      <w:r>
        <w:t xml:space="preserve"> </w:t>
      </w:r>
      <w:r w:rsidR="00093DC8">
        <w:t>eur</w:t>
      </w:r>
      <w:r>
        <w:t>.</w:t>
      </w:r>
    </w:p>
    <w:p w14:paraId="4F4A905C" w14:textId="646BC145" w:rsidR="00EB5E05" w:rsidRDefault="00EB5E05" w:rsidP="00EB5E05">
      <w:pPr>
        <w:jc w:val="both"/>
      </w:pPr>
      <w:r>
        <w:t xml:space="preserve">64 - Prihodi od imovine i ostali prihodi (kamate i pozitivne tečajne razlike) i prihodi po posebnim  propisima planirani su na uobičajenoj razini i iznose </w:t>
      </w:r>
      <w:r w:rsidR="00093DC8">
        <w:t>74.000</w:t>
      </w:r>
      <w:r>
        <w:t xml:space="preserve"> </w:t>
      </w:r>
      <w:r w:rsidR="00093DC8">
        <w:t>eur</w:t>
      </w:r>
      <w:r>
        <w:t>.</w:t>
      </w:r>
    </w:p>
    <w:p w14:paraId="7A9103AB" w14:textId="210EA076" w:rsidR="00EB5E05" w:rsidRDefault="00EB5E05" w:rsidP="00EB5E05">
      <w:pPr>
        <w:jc w:val="both"/>
      </w:pPr>
      <w:r>
        <w:t>65 – Prihodi od upravnih i administrativnih pristojbi, pristojbi po posebnim propisima i naknada se u najvećoj mjeri sastoje od prihoda od prodaje ulaznica. U strukturi prihoda, prihodi od ulaznica ne nisu mijenjali u odnosu na plan</w:t>
      </w:r>
      <w:r w:rsidR="00093DC8">
        <w:t xml:space="preserve"> i iznose 19.003.000 eur</w:t>
      </w:r>
      <w:r>
        <w:t>.</w:t>
      </w:r>
    </w:p>
    <w:p w14:paraId="2846A6B1" w14:textId="78FAB10D" w:rsidR="00EB5E05" w:rsidRDefault="00EB5E05" w:rsidP="00EB5E05">
      <w:pPr>
        <w:jc w:val="both"/>
      </w:pPr>
      <w:r>
        <w:t>66 - Prihode od prodaje proizvoda i roba te pružanja usluga čine prihodi od suvenirnica, ugostiteljske djelatnosti, stručnog vođenja, radionica, zakupa vozila i plovila, i sl. U I. Izmjenama i dopunama Financijskog plana ovi se prihodi nisu mijenjali</w:t>
      </w:r>
      <w:r w:rsidR="00093DC8">
        <w:t xml:space="preserve"> i iznose 760.000 eur</w:t>
      </w:r>
      <w:r>
        <w:t>.</w:t>
      </w:r>
    </w:p>
    <w:p w14:paraId="3975999C" w14:textId="77777777" w:rsidR="00EB5E05" w:rsidRDefault="00EB5E05" w:rsidP="00EB5E05">
      <w:pPr>
        <w:jc w:val="both"/>
      </w:pPr>
      <w:r>
        <w:t>67 - Prihodi iz  proračuna nisu planirani u 2023. godini jer nadležni proračun od 2012. godine ne sudjeluje u financiranju rashoda ustanove.</w:t>
      </w:r>
    </w:p>
    <w:p w14:paraId="6F92D02F" w14:textId="39D722F6" w:rsidR="00EB5E05" w:rsidRDefault="00EB5E05" w:rsidP="00EB5E05">
      <w:pPr>
        <w:jc w:val="both"/>
      </w:pPr>
      <w:r>
        <w:t xml:space="preserve">68 – Kazne, upravne mjere i ostali prihodi su prihodi od kamata i sudskih presuda </w:t>
      </w:r>
      <w:r w:rsidR="00093DC8">
        <w:t>nisu se mjenjali u odnosu na plan i iznose 80</w:t>
      </w:r>
      <w:r>
        <w:t>.</w:t>
      </w:r>
      <w:r w:rsidR="00093DC8">
        <w:t>000</w:t>
      </w:r>
      <w:r>
        <w:t xml:space="preserve"> </w:t>
      </w:r>
      <w:r w:rsidR="00093DC8">
        <w:t>eur</w:t>
      </w:r>
      <w:r>
        <w:t>.</w:t>
      </w:r>
    </w:p>
    <w:p w14:paraId="11D63E06" w14:textId="77777777" w:rsidR="00662D6B" w:rsidRPr="00662D6B" w:rsidRDefault="00662D6B" w:rsidP="00662D6B">
      <w:pPr>
        <w:jc w:val="both"/>
        <w:rPr>
          <w:b/>
          <w:i/>
        </w:rPr>
      </w:pPr>
      <w:bookmarkStart w:id="41" w:name="_Toc495930818"/>
      <w:bookmarkStart w:id="42" w:name="_Toc495932315"/>
      <w:r w:rsidRPr="00662D6B">
        <w:br w:type="page"/>
      </w:r>
    </w:p>
    <w:p w14:paraId="63161E3B" w14:textId="77777777" w:rsidR="00662D6B" w:rsidRPr="00662D6B" w:rsidRDefault="00662D6B" w:rsidP="00662D6B">
      <w:pPr>
        <w:pStyle w:val="Heading2"/>
        <w:numPr>
          <w:ilvl w:val="0"/>
          <w:numId w:val="0"/>
        </w:numPr>
        <w:ind w:firstLine="708"/>
      </w:pPr>
      <w:bookmarkStart w:id="43" w:name="_Toc153441160"/>
      <w:r w:rsidRPr="00662D6B">
        <w:lastRenderedPageBreak/>
        <w:t>5.2. Rashodi</w:t>
      </w:r>
      <w:bookmarkEnd w:id="41"/>
      <w:bookmarkEnd w:id="42"/>
      <w:bookmarkEnd w:id="43"/>
    </w:p>
    <w:p w14:paraId="6292A429" w14:textId="77777777" w:rsidR="00662D6B" w:rsidRPr="00662D6B" w:rsidRDefault="00662D6B" w:rsidP="00662D6B">
      <w:pPr>
        <w:jc w:val="both"/>
        <w:rPr>
          <w:b/>
        </w:rPr>
      </w:pPr>
    </w:p>
    <w:p w14:paraId="2EB093DC" w14:textId="77777777" w:rsidR="00662D6B" w:rsidRPr="00662D6B" w:rsidRDefault="00662D6B" w:rsidP="00662D6B">
      <w:pPr>
        <w:pStyle w:val="Heading3"/>
        <w:numPr>
          <w:ilvl w:val="0"/>
          <w:numId w:val="0"/>
        </w:numPr>
        <w:ind w:left="1845" w:hanging="720"/>
        <w:jc w:val="left"/>
        <w:rPr>
          <w:sz w:val="26"/>
          <w:szCs w:val="26"/>
        </w:rPr>
      </w:pPr>
      <w:bookmarkStart w:id="44" w:name="_Toc153441161"/>
      <w:bookmarkStart w:id="45" w:name="_Toc495930819"/>
      <w:r w:rsidRPr="00662D6B">
        <w:rPr>
          <w:sz w:val="26"/>
          <w:szCs w:val="26"/>
        </w:rPr>
        <w:t>5.2.1. Rashodi poslovanja</w:t>
      </w:r>
      <w:bookmarkEnd w:id="44"/>
    </w:p>
    <w:p w14:paraId="47252607" w14:textId="23D57776" w:rsidR="00662D6B" w:rsidRDefault="00662D6B" w:rsidP="00662D6B">
      <w:pPr>
        <w:jc w:val="both"/>
      </w:pPr>
    </w:p>
    <w:p w14:paraId="7730C2D7" w14:textId="2466FA87" w:rsidR="00662D6B" w:rsidRPr="00662D6B" w:rsidRDefault="00EB5E05" w:rsidP="00662D6B">
      <w:pPr>
        <w:jc w:val="both"/>
      </w:pPr>
      <w:r w:rsidRPr="00662D6B">
        <w:t xml:space="preserve">Rashodi poslovanja </w:t>
      </w:r>
      <w:r w:rsidR="00093DC8">
        <w:t xml:space="preserve">povećani su u odnosu na plan za cca </w:t>
      </w:r>
      <w:r w:rsidR="00FD2D74">
        <w:t xml:space="preserve">3 milijuna eru i iznose </w:t>
      </w:r>
      <w:r w:rsidR="00093DC8">
        <w:t>1</w:t>
      </w:r>
      <w:r w:rsidR="00FD2D74">
        <w:t>9</w:t>
      </w:r>
      <w:r w:rsidR="00093DC8">
        <w:t>.</w:t>
      </w:r>
      <w:r w:rsidR="00FD2D74">
        <w:t>7</w:t>
      </w:r>
      <w:r w:rsidR="00093DC8">
        <w:t>75.000 eur</w:t>
      </w:r>
      <w:r w:rsidR="00662D6B" w:rsidRPr="00662D6B">
        <w:t>.</w:t>
      </w:r>
      <w:bookmarkEnd w:id="45"/>
      <w:r w:rsidR="00093DC8">
        <w:t xml:space="preserve"> U strukturi rashoda najviše su se povećali rashodi za zaposlene</w:t>
      </w:r>
      <w:r w:rsidR="00662D6B" w:rsidRPr="00662D6B">
        <w:t xml:space="preserve"> </w:t>
      </w:r>
      <w:r w:rsidR="003671C4">
        <w:t>.</w:t>
      </w:r>
      <w:r w:rsidR="00662D6B" w:rsidRPr="00662D6B">
        <w:t xml:space="preserve"> </w:t>
      </w:r>
    </w:p>
    <w:p w14:paraId="24AFAC51" w14:textId="4205CBB9" w:rsidR="00662D6B" w:rsidRPr="00662D6B" w:rsidRDefault="00662D6B" w:rsidP="00662D6B">
      <w:pPr>
        <w:jc w:val="both"/>
      </w:pPr>
      <w:bookmarkStart w:id="46" w:name="_Toc495930820"/>
      <w:r w:rsidRPr="00662D6B">
        <w:t xml:space="preserve">31 - Rashodi za zaposlene (plaće) </w:t>
      </w:r>
      <w:r w:rsidR="003671C4">
        <w:t xml:space="preserve">povećani su u odnosu na plan za cca. 2,7 mil eur. Glavni razlog povećanja rashoda je povećanje bropja zaposlenih u 2023. godini te primjena nove </w:t>
      </w:r>
      <w:r w:rsidR="003671C4" w:rsidRPr="003671C4">
        <w:t>Uredbe</w:t>
      </w:r>
      <w:r w:rsidR="003671C4" w:rsidRPr="003671C4">
        <w:rPr>
          <w:bCs/>
        </w:rPr>
        <w:t xml:space="preserve"> o nazivima radnih mjesta, uvjetima za raspored i koeficijentima za obračun plaće u javnim službama</w:t>
      </w:r>
      <w:r w:rsidRPr="00662D6B">
        <w:t xml:space="preserve"> i iznose </w:t>
      </w:r>
      <w:r w:rsidR="00056B20">
        <w:t xml:space="preserve"> </w:t>
      </w:r>
      <w:r w:rsidR="003671C4">
        <w:t>10</w:t>
      </w:r>
      <w:r w:rsidR="00056B20">
        <w:t>.</w:t>
      </w:r>
      <w:r w:rsidR="003671C4">
        <w:t>40</w:t>
      </w:r>
      <w:r w:rsidR="00EB25FA">
        <w:t>0</w:t>
      </w:r>
      <w:r w:rsidR="00056B20">
        <w:t>.</w:t>
      </w:r>
      <w:r w:rsidR="00EB25FA">
        <w:t>000</w:t>
      </w:r>
      <w:r w:rsidR="00056B20">
        <w:t xml:space="preserve"> </w:t>
      </w:r>
      <w:r w:rsidR="003671C4">
        <w:t>eur</w:t>
      </w:r>
      <w:r w:rsidRPr="00662D6B">
        <w:t xml:space="preserve">. </w:t>
      </w:r>
      <w:bookmarkStart w:id="47" w:name="_Toc495930821"/>
      <w:bookmarkEnd w:id="46"/>
    </w:p>
    <w:p w14:paraId="02725CCC" w14:textId="1B9BF5A2" w:rsidR="00662D6B" w:rsidRPr="00662D6B" w:rsidRDefault="00662D6B" w:rsidP="00662D6B">
      <w:pPr>
        <w:jc w:val="both"/>
      </w:pPr>
      <w:r w:rsidRPr="00662D6B">
        <w:t xml:space="preserve">32 - Materijalni rashodi </w:t>
      </w:r>
      <w:r w:rsidR="003671C4">
        <w:t xml:space="preserve">nisu se značajnije mijenjali u odnosu na plan i iznose </w:t>
      </w:r>
      <w:r w:rsidR="00857586">
        <w:t>6</w:t>
      </w:r>
      <w:r w:rsidR="00056B20">
        <w:t>.</w:t>
      </w:r>
      <w:r w:rsidR="003671C4">
        <w:t>96</w:t>
      </w:r>
      <w:r w:rsidR="00EB25FA">
        <w:t>5.000</w:t>
      </w:r>
      <w:r w:rsidR="00056B20">
        <w:t xml:space="preserve"> </w:t>
      </w:r>
      <w:r w:rsidR="003671C4">
        <w:t>eur</w:t>
      </w:r>
      <w:r w:rsidRPr="00662D6B">
        <w:t>. Najveć</w:t>
      </w:r>
      <w:r w:rsidR="0015502F">
        <w:t>e stavke u okviru materijalnih rashoda su</w:t>
      </w:r>
      <w:r w:rsidRPr="00662D6B">
        <w:t>: naknad</w:t>
      </w:r>
      <w:r w:rsidR="0015502F">
        <w:t>e</w:t>
      </w:r>
      <w:r w:rsidRPr="00662D6B">
        <w:t xml:space="preserve"> za prijevoz, usluge telefona, pošte i prijevoza, usluge tekućeg i investicijskog održavanja, usluge promidžbe i informiranja, intelektualne i osobne usluge te ostale usluge. </w:t>
      </w:r>
      <w:r w:rsidR="0015502F">
        <w:t>Struktura ove grupe rashoda je slijedeća:</w:t>
      </w:r>
      <w:bookmarkEnd w:id="47"/>
    </w:p>
    <w:p w14:paraId="785EA884" w14:textId="0C93AAA6" w:rsidR="00662D6B" w:rsidRPr="00662D6B" w:rsidRDefault="00662D6B" w:rsidP="00662D6B">
      <w:pPr>
        <w:numPr>
          <w:ilvl w:val="0"/>
          <w:numId w:val="12"/>
        </w:numPr>
        <w:jc w:val="both"/>
      </w:pPr>
      <w:bookmarkStart w:id="48" w:name="_Toc495930822"/>
      <w:r w:rsidRPr="00662D6B">
        <w:t xml:space="preserve">naknade troškova zaposlenima – troškovi za službena putovanja, naknade za prijevoz, stručno usavršavanje zaposlenika i ostali rashodi za zaposlene –  </w:t>
      </w:r>
      <w:bookmarkEnd w:id="48"/>
      <w:r w:rsidR="003671C4">
        <w:t>40</w:t>
      </w:r>
      <w:r w:rsidR="00EB25FA">
        <w:t>5</w:t>
      </w:r>
      <w:r w:rsidR="00056B20">
        <w:t>.</w:t>
      </w:r>
      <w:r w:rsidR="00EB25FA">
        <w:t>000</w:t>
      </w:r>
      <w:r w:rsidR="00FB400F">
        <w:t xml:space="preserve"> </w:t>
      </w:r>
      <w:r w:rsidR="003671C4">
        <w:t>eur</w:t>
      </w:r>
      <w:r w:rsidRPr="00662D6B">
        <w:t>,</w:t>
      </w:r>
    </w:p>
    <w:p w14:paraId="6273C8D0" w14:textId="4CD7FDE2" w:rsidR="00662D6B" w:rsidRPr="00662D6B" w:rsidRDefault="00662D6B" w:rsidP="00662D6B">
      <w:pPr>
        <w:numPr>
          <w:ilvl w:val="0"/>
          <w:numId w:val="12"/>
        </w:numPr>
        <w:jc w:val="both"/>
      </w:pPr>
      <w:bookmarkStart w:id="49" w:name="_Toc495930823"/>
      <w:r w:rsidRPr="00662D6B">
        <w:t xml:space="preserve">rashodi za materijal i energiju – uredski materijal i ostali materijal, materijal i sirovine, energija, materijal i dijelovi za tekuće i investicijsko održavanje, sitni inventar i auto gume te službena, radna i zaštitna odjeća –  </w:t>
      </w:r>
      <w:bookmarkEnd w:id="49"/>
      <w:r w:rsidR="00056B20">
        <w:t>1.</w:t>
      </w:r>
      <w:r w:rsidR="003671C4">
        <w:t>3</w:t>
      </w:r>
      <w:r w:rsidR="00FD2D74">
        <w:t>20</w:t>
      </w:r>
      <w:r w:rsidR="00056B20">
        <w:t>.</w:t>
      </w:r>
      <w:r w:rsidR="00FD2D74">
        <w:t>000</w:t>
      </w:r>
      <w:bookmarkStart w:id="50" w:name="_GoBack"/>
      <w:bookmarkEnd w:id="50"/>
      <w:r w:rsidR="00056B20">
        <w:t xml:space="preserve"> </w:t>
      </w:r>
      <w:r w:rsidR="003671C4">
        <w:t>eur</w:t>
      </w:r>
      <w:r w:rsidRPr="00662D6B">
        <w:t>,</w:t>
      </w:r>
    </w:p>
    <w:p w14:paraId="0EEBC3E2" w14:textId="6F11CDF8" w:rsidR="00662D6B" w:rsidRPr="00662D6B" w:rsidRDefault="00662D6B" w:rsidP="00662D6B">
      <w:pPr>
        <w:numPr>
          <w:ilvl w:val="0"/>
          <w:numId w:val="12"/>
        </w:numPr>
        <w:jc w:val="both"/>
      </w:pPr>
      <w:bookmarkStart w:id="51" w:name="_Toc495930824"/>
      <w:r w:rsidRPr="00662D6B">
        <w:t>usluge telefona, pošte i prijevoza (izdaci za prijevoz posjetitelja autobusom Lozovac – Skradin – Skradinski buk, prijevoz posjetitelja brodovima Skradin – Skradinski buk) i ostalo –  1.</w:t>
      </w:r>
      <w:r w:rsidR="00857586">
        <w:t>2</w:t>
      </w:r>
      <w:r w:rsidRPr="00662D6B">
        <w:t xml:space="preserve">00.000 </w:t>
      </w:r>
      <w:bookmarkStart w:id="52" w:name="_Toc495930825"/>
      <w:bookmarkEnd w:id="51"/>
      <w:r w:rsidR="00EB25FA">
        <w:t xml:space="preserve"> </w:t>
      </w:r>
      <w:r w:rsidR="00056B20">
        <w:t>EUR</w:t>
      </w:r>
      <w:r w:rsidRPr="00662D6B">
        <w:t>,</w:t>
      </w:r>
    </w:p>
    <w:p w14:paraId="05C6734C" w14:textId="0A3BE074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>usluge tekućeg i investicijskog održavanja – sanacija i uređenje pješačkih staza (</w:t>
      </w:r>
      <w:r w:rsidR="00EB25FA">
        <w:t>postavljanje drvene ograde na pješačkoj stazi uz ploču iznad Roškog slapa, sanacija betosnkog cestovnog mosta na Roškom slapu, uređenje staze od recepcije na Roškom slapu prema gornjem pristaništu brodova i postavljanje energetskog kabela za punionicu za brodove, uređenje</w:t>
      </w:r>
      <w:r w:rsidR="00B04A26">
        <w:t xml:space="preserve"> parkirališta pored ispostave La</w:t>
      </w:r>
      <w:r w:rsidR="00EB25FA">
        <w:t>škovica, sanacija kružne drvene staze na Skradinskom buku, sanacija staze na Bilušića buku, sanacija drvenih mostića na Roškom slapu, uređenje parkirališ</w:t>
      </w:r>
      <w:r w:rsidR="00D501AB">
        <w:t>t</w:t>
      </w:r>
      <w:r w:rsidR="00EB25FA">
        <w:t>a pored ispostave u Bilicama, sanacija pristaništa na mlinarskom kuku, sanacija drvene ograde na Manojlovcu, ....</w:t>
      </w:r>
      <w:r w:rsidRPr="00662D6B">
        <w:t xml:space="preserve">) </w:t>
      </w:r>
      <w:r w:rsidR="00A01B8C">
        <w:t>8</w:t>
      </w:r>
      <w:r w:rsidR="00056B20">
        <w:t>00</w:t>
      </w:r>
      <w:r w:rsidRPr="00662D6B">
        <w:t>.</w:t>
      </w:r>
      <w:r w:rsidR="00056B20">
        <w:t>000</w:t>
      </w:r>
      <w:r w:rsidRPr="00662D6B">
        <w:t xml:space="preserve"> </w:t>
      </w:r>
      <w:bookmarkStart w:id="53" w:name="_Toc495930826"/>
      <w:bookmarkEnd w:id="52"/>
      <w:r w:rsidR="00A01B8C">
        <w:t>E</w:t>
      </w:r>
      <w:r w:rsidR="00056B20">
        <w:t>UR</w:t>
      </w:r>
      <w:r w:rsidRPr="00662D6B">
        <w:t>,</w:t>
      </w:r>
    </w:p>
    <w:p w14:paraId="2941D4F2" w14:textId="6A0F06CA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usluge promidžbe i informiranja – usluge elektronskih medija, tiska, izložbenog prostora na sajmovima, organiziranje edukacija, radionica, obilježavanje važnih datuma vezanih uz zaštitu prirode, sponzorstva i sl. -  </w:t>
      </w:r>
      <w:r w:rsidR="00A01B8C">
        <w:t>900</w:t>
      </w:r>
      <w:r w:rsidRPr="00662D6B">
        <w:t xml:space="preserve">.000 </w:t>
      </w:r>
      <w:bookmarkStart w:id="54" w:name="_Toc495930827"/>
      <w:bookmarkEnd w:id="53"/>
      <w:r w:rsidR="00A01B8C">
        <w:t>EUR</w:t>
      </w:r>
      <w:r w:rsidRPr="00662D6B">
        <w:t>,</w:t>
      </w:r>
    </w:p>
    <w:p w14:paraId="5D931371" w14:textId="77777777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komunalne usluge –  </w:t>
      </w:r>
      <w:r w:rsidR="00A01B8C">
        <w:t>250</w:t>
      </w:r>
      <w:r w:rsidRPr="00662D6B">
        <w:t xml:space="preserve">.000 </w:t>
      </w:r>
      <w:bookmarkStart w:id="55" w:name="_Toc495930828"/>
      <w:bookmarkEnd w:id="54"/>
      <w:r w:rsidR="00056B20">
        <w:t>EUR</w:t>
      </w:r>
      <w:r w:rsidRPr="00662D6B">
        <w:t>,</w:t>
      </w:r>
    </w:p>
    <w:p w14:paraId="6E5DB37C" w14:textId="77777777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zakupnine i najamnine – </w:t>
      </w:r>
      <w:r w:rsidR="00A01B8C">
        <w:t>3</w:t>
      </w:r>
      <w:r w:rsidRPr="00662D6B">
        <w:t xml:space="preserve">00.000 </w:t>
      </w:r>
      <w:bookmarkStart w:id="56" w:name="_Toc495930829"/>
      <w:bookmarkEnd w:id="55"/>
      <w:r w:rsidR="00056B20">
        <w:t>EUR</w:t>
      </w:r>
      <w:r w:rsidRPr="00662D6B">
        <w:t>,</w:t>
      </w:r>
    </w:p>
    <w:p w14:paraId="1BBB894B" w14:textId="77777777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zdravstvene usluge – </w:t>
      </w:r>
      <w:r w:rsidR="00056B20">
        <w:t>1</w:t>
      </w:r>
      <w:r w:rsidR="00A01B8C">
        <w:t>5</w:t>
      </w:r>
      <w:r w:rsidRPr="00662D6B">
        <w:t xml:space="preserve">.000 </w:t>
      </w:r>
      <w:bookmarkStart w:id="57" w:name="_Toc495930830"/>
      <w:bookmarkEnd w:id="56"/>
      <w:r w:rsidR="00056B20">
        <w:t>EUR</w:t>
      </w:r>
      <w:r w:rsidRPr="00662D6B">
        <w:t>,</w:t>
      </w:r>
    </w:p>
    <w:p w14:paraId="048ED5CC" w14:textId="77777777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lastRenderedPageBreak/>
        <w:t xml:space="preserve">intelektualne i osobne usluge – odvjetničke usluge, usluge vještačenja, usluge agencije, studentski servisi – </w:t>
      </w:r>
      <w:r w:rsidR="00A01B8C">
        <w:t>7</w:t>
      </w:r>
      <w:r w:rsidRPr="00662D6B">
        <w:t xml:space="preserve">00.000 </w:t>
      </w:r>
      <w:bookmarkStart w:id="58" w:name="_Toc495930831"/>
      <w:bookmarkEnd w:id="57"/>
      <w:r w:rsidR="00056B20">
        <w:t>EUR</w:t>
      </w:r>
      <w:r w:rsidRPr="00662D6B">
        <w:t>,</w:t>
      </w:r>
    </w:p>
    <w:p w14:paraId="76AC9486" w14:textId="77777777" w:rsidR="00662D6B" w:rsidRPr="00662D6B" w:rsidRDefault="00A01B8C" w:rsidP="00662D6B">
      <w:pPr>
        <w:numPr>
          <w:ilvl w:val="0"/>
          <w:numId w:val="12"/>
        </w:numPr>
        <w:jc w:val="both"/>
      </w:pPr>
      <w:r>
        <w:t>računalne usluge (</w:t>
      </w:r>
      <w:r w:rsidR="00662D6B" w:rsidRPr="00662D6B">
        <w:t>u 202</w:t>
      </w:r>
      <w:r>
        <w:t>4</w:t>
      </w:r>
      <w:r w:rsidR="00662D6B" w:rsidRPr="00662D6B">
        <w:t xml:space="preserve">. godini </w:t>
      </w:r>
      <w:r>
        <w:t xml:space="preserve">nastaviti </w:t>
      </w:r>
      <w:r w:rsidR="00662D6B" w:rsidRPr="00662D6B">
        <w:t xml:space="preserve">će se s digitalizacijom arhivske građe) – </w:t>
      </w:r>
      <w:r>
        <w:t>160</w:t>
      </w:r>
      <w:r w:rsidR="00662D6B" w:rsidRPr="00662D6B">
        <w:t xml:space="preserve">.000 </w:t>
      </w:r>
      <w:bookmarkStart w:id="59" w:name="_Toc495930832"/>
      <w:bookmarkEnd w:id="58"/>
      <w:r w:rsidR="00056B20">
        <w:t>EUR</w:t>
      </w:r>
      <w:r w:rsidR="00662D6B" w:rsidRPr="00662D6B">
        <w:t>,</w:t>
      </w:r>
    </w:p>
    <w:p w14:paraId="55CAD955" w14:textId="77777777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ostale usluge – odnose  se  na troškove pripreme materijala i tiskanje ulaznica, plakata, letaka, film i izradu fotografija, naknade Franjevačkoj provinciji i SPC za posjete gostiju samostanu Visovac i manastiru Krka, usluge motrenja vatrogasnih društava i sl. – </w:t>
      </w:r>
      <w:r w:rsidR="00A01B8C">
        <w:t>400</w:t>
      </w:r>
      <w:r w:rsidRPr="00662D6B">
        <w:t xml:space="preserve">.000 </w:t>
      </w:r>
      <w:bookmarkStart w:id="60" w:name="_Toc495930833"/>
      <w:bookmarkEnd w:id="59"/>
      <w:r w:rsidR="00056B20">
        <w:t>EUR</w:t>
      </w:r>
      <w:r w:rsidRPr="00662D6B">
        <w:t>,</w:t>
      </w:r>
    </w:p>
    <w:p w14:paraId="62006712" w14:textId="77777777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naknade troškova osobama izvan radnog odnosa – </w:t>
      </w:r>
      <w:r w:rsidR="00A01B8C">
        <w:t>25</w:t>
      </w:r>
      <w:r w:rsidR="00056B20">
        <w:t>.</w:t>
      </w:r>
      <w:r w:rsidRPr="00662D6B">
        <w:t xml:space="preserve">000 </w:t>
      </w:r>
      <w:bookmarkStart w:id="61" w:name="_Toc495930834"/>
      <w:bookmarkEnd w:id="60"/>
      <w:r w:rsidR="00056B20">
        <w:t>EUR</w:t>
      </w:r>
      <w:r w:rsidRPr="00662D6B">
        <w:t>,</w:t>
      </w:r>
    </w:p>
    <w:p w14:paraId="447F0B89" w14:textId="7F88988D" w:rsidR="00662D6B" w:rsidRPr="00662D6B" w:rsidRDefault="00662D6B" w:rsidP="00662D6B">
      <w:pPr>
        <w:numPr>
          <w:ilvl w:val="0"/>
          <w:numId w:val="12"/>
        </w:numPr>
        <w:jc w:val="both"/>
      </w:pPr>
      <w:r w:rsidRPr="00662D6B">
        <w:t xml:space="preserve">ostali nespomenuti rashodi poslovanja - naknade za rad predstavničkih i izvršnih tijela, premije,  reprezentacija, članarine, pristojbe i naknade i ostali nespomenuti rashodi – </w:t>
      </w:r>
      <w:r w:rsidR="00A01B8C">
        <w:t>4</w:t>
      </w:r>
      <w:r w:rsidR="003671C4">
        <w:t>9</w:t>
      </w:r>
      <w:r w:rsidR="00A01B8C">
        <w:t>0</w:t>
      </w:r>
      <w:r w:rsidRPr="00662D6B">
        <w:t xml:space="preserve">.000 </w:t>
      </w:r>
      <w:bookmarkEnd w:id="61"/>
      <w:r w:rsidR="00056B20">
        <w:t>EUR</w:t>
      </w:r>
      <w:r w:rsidR="00E26D83">
        <w:t>,</w:t>
      </w:r>
    </w:p>
    <w:p w14:paraId="58EA531F" w14:textId="77777777" w:rsidR="00662D6B" w:rsidRPr="00662D6B" w:rsidRDefault="00662D6B" w:rsidP="00662D6B">
      <w:pPr>
        <w:jc w:val="both"/>
      </w:pPr>
      <w:bookmarkStart w:id="62" w:name="_Toc495930835"/>
      <w:r w:rsidRPr="00662D6B">
        <w:t xml:space="preserve">34 - Financijski rashodi - bankarske usluge, usluge FINA-e i ostali financijski rashodi (takse, biljezi, pristojbe, provizije kartičnih kuća i sl. ) –  </w:t>
      </w:r>
      <w:r w:rsidR="00A01B8C">
        <w:t>145</w:t>
      </w:r>
      <w:r w:rsidRPr="00662D6B">
        <w:t xml:space="preserve">.000 </w:t>
      </w:r>
      <w:bookmarkEnd w:id="62"/>
      <w:r w:rsidR="00E26D83">
        <w:t xml:space="preserve">EUR, </w:t>
      </w:r>
    </w:p>
    <w:p w14:paraId="3083A9A0" w14:textId="748CA805" w:rsidR="00662D6B" w:rsidRPr="00662D6B" w:rsidRDefault="00662D6B" w:rsidP="00662D6B">
      <w:pPr>
        <w:jc w:val="both"/>
      </w:pPr>
      <w:bookmarkStart w:id="63" w:name="_Toc495930836"/>
      <w:r w:rsidRPr="00662D6B">
        <w:t xml:space="preserve">36 – </w:t>
      </w:r>
      <w:r w:rsidR="00E26D83">
        <w:t>Pomoći dane u inozemstvo i unutar općeg proračuna</w:t>
      </w:r>
      <w:r w:rsidRPr="00662D6B">
        <w:t xml:space="preserve">  – ova stavka </w:t>
      </w:r>
      <w:r w:rsidR="0015502F">
        <w:t xml:space="preserve">je planirana u iznosu od </w:t>
      </w:r>
      <w:r w:rsidR="00857586">
        <w:t>2</w:t>
      </w:r>
      <w:r w:rsidR="00D501AB">
        <w:t>.</w:t>
      </w:r>
      <w:r w:rsidR="00857586">
        <w:t>00</w:t>
      </w:r>
      <w:r w:rsidR="00D501AB">
        <w:t>0</w:t>
      </w:r>
      <w:r w:rsidRPr="00662D6B">
        <w:t xml:space="preserve">.000 </w:t>
      </w:r>
      <w:r w:rsidR="00A01B8C">
        <w:t>E</w:t>
      </w:r>
      <w:r w:rsidR="00E26D83">
        <w:t>UR</w:t>
      </w:r>
      <w:r w:rsidRPr="00662D6B">
        <w:t xml:space="preserve">. Najznačajnije rashod u strukturi ove grupe računa su isplata sredstava naknade zbog zaštićenih prirodnih područja općinama i gradovima na čijem području se nalazi NP „Krka“ sukladno odluci Ministarstva zaštite okoliša i prirode </w:t>
      </w:r>
      <w:bookmarkEnd w:id="63"/>
      <w:r w:rsidRPr="00662D6B">
        <w:t xml:space="preserve">i </w:t>
      </w:r>
      <w:bookmarkStart w:id="64" w:name="_Toc495930839"/>
      <w:r w:rsidRPr="00662D6B">
        <w:t>obveza uplate od 3% ostvarenih prihoda od ulaznica u nadležni proračun sukladno Pravilniku o mjerilima i načinu korištenja donacija i vlastitih prihoda nacionalnih parkova i parkova prirode (Narodne novine, broj 65/2017). Kako se iznosi ovih naknada obračunavaju sukladno ostvarenom prihodu od naplate ulaznica u prethodnoj godini, a koji je u 202</w:t>
      </w:r>
      <w:r w:rsidR="00A01B8C">
        <w:t>3</w:t>
      </w:r>
      <w:r w:rsidRPr="00662D6B">
        <w:t xml:space="preserve">. </w:t>
      </w:r>
      <w:r w:rsidR="00540C14">
        <w:t xml:space="preserve">godini </w:t>
      </w:r>
      <w:r w:rsidRPr="00662D6B">
        <w:t>porastao u odnosu na 202</w:t>
      </w:r>
      <w:r w:rsidR="00A01B8C">
        <w:t>2</w:t>
      </w:r>
      <w:r w:rsidRPr="00662D6B">
        <w:t>. godinu, iznosi spomenutih naknada će u 202</w:t>
      </w:r>
      <w:r w:rsidR="00A01B8C">
        <w:t>4</w:t>
      </w:r>
      <w:r w:rsidRPr="00662D6B">
        <w:t>. godini biti veći nego u 202</w:t>
      </w:r>
      <w:r w:rsidR="00A01B8C">
        <w:t>3</w:t>
      </w:r>
      <w:r w:rsidRPr="00662D6B">
        <w:t>. godini.</w:t>
      </w:r>
      <w:r w:rsidR="006B0846">
        <w:t xml:space="preserve"> Osim toga, planirano je sufinanciranje projekta izgradnje „Plaža Lozovac – SLATKA DRAGA“ s gradom Šibenik u iznosu </w:t>
      </w:r>
      <w:r w:rsidR="006B0846" w:rsidRPr="00D46BDF">
        <w:t xml:space="preserve">od </w:t>
      </w:r>
      <w:r w:rsidR="00615B75" w:rsidRPr="00D46BDF">
        <w:t>200</w:t>
      </w:r>
      <w:r w:rsidR="006B0846" w:rsidRPr="00D46BDF">
        <w:t>.</w:t>
      </w:r>
      <w:r w:rsidR="00932062" w:rsidRPr="00D46BDF">
        <w:t>0</w:t>
      </w:r>
      <w:r w:rsidR="00615B75" w:rsidRPr="00D46BDF">
        <w:t>00</w:t>
      </w:r>
      <w:r w:rsidR="00932062">
        <w:t xml:space="preserve"> EUR.</w:t>
      </w:r>
    </w:p>
    <w:p w14:paraId="460F1F0A" w14:textId="77777777" w:rsidR="00662D6B" w:rsidRPr="00662D6B" w:rsidRDefault="00662D6B" w:rsidP="00662D6B">
      <w:pPr>
        <w:jc w:val="both"/>
      </w:pPr>
      <w:r w:rsidRPr="00662D6B">
        <w:t xml:space="preserve">37 – Naknade građanima i kućanstvima na temelju osiguranja i druge naknade  – troškovi školarina i stipendija djelatnicima JU NP Krka </w:t>
      </w:r>
      <w:r w:rsidR="00E26D83">
        <w:t>5</w:t>
      </w:r>
      <w:r w:rsidRPr="00662D6B">
        <w:t xml:space="preserve">.000 </w:t>
      </w:r>
      <w:bookmarkEnd w:id="64"/>
      <w:r w:rsidR="00E26D83">
        <w:t>EUR,</w:t>
      </w:r>
    </w:p>
    <w:p w14:paraId="4D269A26" w14:textId="69E0B5D5" w:rsidR="00662D6B" w:rsidRPr="00662D6B" w:rsidRDefault="00662D6B" w:rsidP="00662D6B">
      <w:pPr>
        <w:jc w:val="both"/>
      </w:pPr>
      <w:bookmarkStart w:id="65" w:name="_Toc495930840"/>
      <w:r w:rsidRPr="00662D6B">
        <w:t xml:space="preserve">38 - Ostali rashodi: naknade štete, financijske pomoći državnom, lokalnom i županijskom proračunu, raznim kulturnim, sportskim, vjerskim, humanitarnim udrugama i sl. u iznosu od </w:t>
      </w:r>
      <w:r w:rsidR="00857586">
        <w:t>260</w:t>
      </w:r>
      <w:r w:rsidRPr="00662D6B">
        <w:t>.000 kn</w:t>
      </w:r>
      <w:bookmarkEnd w:id="65"/>
      <w:r w:rsidR="00E26D83">
        <w:t xml:space="preserve"> EUR</w:t>
      </w:r>
      <w:r w:rsidRPr="00662D6B">
        <w:t>.</w:t>
      </w:r>
    </w:p>
    <w:p w14:paraId="5CF483A3" w14:textId="77777777" w:rsidR="00662D6B" w:rsidRPr="00662D6B" w:rsidRDefault="00662D6B" w:rsidP="00662D6B">
      <w:pPr>
        <w:jc w:val="both"/>
      </w:pPr>
    </w:p>
    <w:p w14:paraId="2B6AEA45" w14:textId="77777777" w:rsidR="00662D6B" w:rsidRPr="00662D6B" w:rsidRDefault="00662D6B" w:rsidP="00662D6B">
      <w:pPr>
        <w:ind w:firstLine="708"/>
        <w:jc w:val="both"/>
        <w:rPr>
          <w:b/>
          <w:i/>
          <w:iCs/>
          <w:sz w:val="26"/>
          <w:szCs w:val="26"/>
        </w:rPr>
      </w:pPr>
      <w:r w:rsidRPr="00662D6B">
        <w:rPr>
          <w:b/>
          <w:i/>
          <w:iCs/>
          <w:sz w:val="26"/>
          <w:szCs w:val="26"/>
        </w:rPr>
        <w:t xml:space="preserve">5.2.2. Rashodi za nabavu nefinancijske imovine </w:t>
      </w:r>
    </w:p>
    <w:p w14:paraId="268194E2" w14:textId="77777777" w:rsidR="00535BFC" w:rsidRDefault="00535BFC" w:rsidP="00EB5E05">
      <w:pPr>
        <w:jc w:val="both"/>
      </w:pPr>
    </w:p>
    <w:p w14:paraId="7CE75AAB" w14:textId="69AF6ADC" w:rsidR="00EB5E05" w:rsidRPr="00662D6B" w:rsidRDefault="00EB5E05" w:rsidP="00EB5E05">
      <w:pPr>
        <w:jc w:val="both"/>
        <w:rPr>
          <w:b/>
        </w:rPr>
      </w:pPr>
      <w:r w:rsidRPr="00662D6B">
        <w:t xml:space="preserve">Ukupni rashodi za nabavu nefinancijske imovine </w:t>
      </w:r>
      <w:r>
        <w:t>povećani u odnosu na plan za 4</w:t>
      </w:r>
      <w:r w:rsidR="000B4878">
        <w:t>90</w:t>
      </w:r>
      <w:r>
        <w:t>.</w:t>
      </w:r>
      <w:r w:rsidR="000B4878">
        <w:t>000 eur</w:t>
      </w:r>
      <w:r>
        <w:t xml:space="preserve"> i iznose </w:t>
      </w:r>
      <w:r w:rsidR="000B4878">
        <w:t>3</w:t>
      </w:r>
      <w:r>
        <w:t>.</w:t>
      </w:r>
      <w:r w:rsidR="000B4878">
        <w:t>655</w:t>
      </w:r>
      <w:r>
        <w:t>.</w:t>
      </w:r>
      <w:r w:rsidR="000B4878">
        <w:t>000 eur</w:t>
      </w:r>
      <w:r w:rsidRPr="00662D6B">
        <w:t>. Struktura rashoda za nabavu nefinancijske imovine je sljedeća:</w:t>
      </w:r>
    </w:p>
    <w:p w14:paraId="73DF92EC" w14:textId="77777777" w:rsidR="00662D6B" w:rsidRPr="00662D6B" w:rsidRDefault="00662D6B" w:rsidP="00662D6B">
      <w:pPr>
        <w:jc w:val="both"/>
        <w:rPr>
          <w:b/>
          <w:i/>
        </w:rPr>
      </w:pPr>
      <w:r w:rsidRPr="00662D6B">
        <w:rPr>
          <w:b/>
          <w:i/>
        </w:rPr>
        <w:t xml:space="preserve">41 - Rashodi za nabavu neproizvedene dugotrajne imovine </w:t>
      </w:r>
    </w:p>
    <w:p w14:paraId="63145B59" w14:textId="5E6CA8CD" w:rsidR="00662D6B" w:rsidRPr="00662D6B" w:rsidRDefault="00662D6B" w:rsidP="00662D6B">
      <w:pPr>
        <w:jc w:val="both"/>
      </w:pPr>
      <w:r w:rsidRPr="00662D6B">
        <w:t xml:space="preserve">Rashodi za nabavu neproizvedene dugotrajne imovine </w:t>
      </w:r>
      <w:r w:rsidR="000B4878">
        <w:t>smanjeni su za 300.000 eur,</w:t>
      </w:r>
      <w:r w:rsidRPr="00662D6B">
        <w:t xml:space="preserve"> a sastoje se od:</w:t>
      </w:r>
    </w:p>
    <w:p w14:paraId="1F0149AA" w14:textId="079D5857" w:rsidR="00662D6B" w:rsidRPr="00662D6B" w:rsidRDefault="00662D6B" w:rsidP="00662D6B">
      <w:pPr>
        <w:numPr>
          <w:ilvl w:val="0"/>
          <w:numId w:val="14"/>
        </w:numPr>
        <w:jc w:val="both"/>
      </w:pPr>
      <w:r w:rsidRPr="00662D6B">
        <w:t xml:space="preserve">Zemljišta  – </w:t>
      </w:r>
      <w:r w:rsidR="000B4878">
        <w:t>1</w:t>
      </w:r>
      <w:r w:rsidRPr="00662D6B">
        <w:t xml:space="preserve">00.000 </w:t>
      </w:r>
      <w:r w:rsidR="00E26D83">
        <w:t>EUR</w:t>
      </w:r>
    </w:p>
    <w:p w14:paraId="0F73BA8E" w14:textId="77777777" w:rsidR="00662D6B" w:rsidRPr="00662D6B" w:rsidRDefault="00662D6B" w:rsidP="00662D6B">
      <w:pPr>
        <w:numPr>
          <w:ilvl w:val="0"/>
          <w:numId w:val="14"/>
        </w:numPr>
        <w:jc w:val="both"/>
      </w:pPr>
      <w:r w:rsidRPr="00662D6B">
        <w:t>Prava-licence – 2</w:t>
      </w:r>
      <w:r w:rsidR="00615B75">
        <w:t>5</w:t>
      </w:r>
      <w:r w:rsidRPr="00662D6B">
        <w:t>.000 kuna</w:t>
      </w:r>
      <w:r w:rsidR="00E26D83">
        <w:t xml:space="preserve"> EUR</w:t>
      </w:r>
    </w:p>
    <w:p w14:paraId="65C88B1D" w14:textId="77777777" w:rsidR="00662D6B" w:rsidRPr="00662D6B" w:rsidRDefault="008A51AC" w:rsidP="00662D6B">
      <w:pPr>
        <w:numPr>
          <w:ilvl w:val="0"/>
          <w:numId w:val="14"/>
        </w:numPr>
        <w:jc w:val="both"/>
        <w:rPr>
          <w:b/>
          <w:bCs/>
        </w:rPr>
      </w:pPr>
      <w:r>
        <w:lastRenderedPageBreak/>
        <w:t>Prava se planiraju</w:t>
      </w:r>
      <w:r w:rsidR="00662D6B" w:rsidRPr="00662D6B">
        <w:t xml:space="preserve"> u iznosu od </w:t>
      </w:r>
      <w:r w:rsidR="00615B75">
        <w:t>5</w:t>
      </w:r>
      <w:r w:rsidR="00662D6B" w:rsidRPr="00662D6B">
        <w:t xml:space="preserve">00.000 </w:t>
      </w:r>
      <w:r w:rsidR="00E26D83">
        <w:t>EUR</w:t>
      </w:r>
      <w:r w:rsidR="00662D6B" w:rsidRPr="00662D6B">
        <w:t xml:space="preserve">, </w:t>
      </w:r>
      <w:r w:rsidR="0049700B">
        <w:t xml:space="preserve">završetak </w:t>
      </w:r>
      <w:r w:rsidR="00662D6B" w:rsidRPr="00662D6B">
        <w:t>rekonstrukcij</w:t>
      </w:r>
      <w:r w:rsidR="0049700B">
        <w:t>e</w:t>
      </w:r>
      <w:r w:rsidR="00662D6B" w:rsidRPr="00662D6B">
        <w:t xml:space="preserve"> zgrade posjetiteljskog centra „Krka – vrelo života“ u Kistanjama, konzervacija utvrda Nečven i Trošenj, uređenje parkinga na Laškovici, </w:t>
      </w:r>
      <w:r w:rsidR="0049700B">
        <w:rPr>
          <w:bCs/>
        </w:rPr>
        <w:t>Kružine – izrada projektne dokumentacije, te početak radova na iz</w:t>
      </w:r>
      <w:r w:rsidR="00540C14">
        <w:rPr>
          <w:bCs/>
        </w:rPr>
        <w:t>gradnji</w:t>
      </w:r>
      <w:r w:rsidR="0049700B">
        <w:rPr>
          <w:bCs/>
        </w:rPr>
        <w:t xml:space="preserve"> prihvatnog punkta, …</w:t>
      </w:r>
    </w:p>
    <w:p w14:paraId="598DB3D8" w14:textId="77777777" w:rsidR="00662D6B" w:rsidRPr="00662D6B" w:rsidRDefault="00662D6B" w:rsidP="00662D6B">
      <w:pPr>
        <w:numPr>
          <w:ilvl w:val="0"/>
          <w:numId w:val="14"/>
        </w:numPr>
        <w:jc w:val="both"/>
      </w:pPr>
      <w:r w:rsidRPr="00662D6B">
        <w:t>Ostala nematerijalna proizvedena imovina – 1</w:t>
      </w:r>
      <w:r w:rsidR="00615B75">
        <w:t>5</w:t>
      </w:r>
      <w:r w:rsidRPr="00662D6B">
        <w:t xml:space="preserve">.000 </w:t>
      </w:r>
      <w:r w:rsidR="00E26D83">
        <w:t>EUR.</w:t>
      </w:r>
    </w:p>
    <w:p w14:paraId="2C395D48" w14:textId="77777777" w:rsidR="00662D6B" w:rsidRPr="00662D6B" w:rsidRDefault="00662D6B" w:rsidP="00662D6B">
      <w:pPr>
        <w:jc w:val="both"/>
      </w:pPr>
    </w:p>
    <w:p w14:paraId="2FBC57A4" w14:textId="77777777" w:rsidR="00662D6B" w:rsidRPr="00662D6B" w:rsidRDefault="00662D6B" w:rsidP="00662D6B">
      <w:pPr>
        <w:jc w:val="both"/>
        <w:rPr>
          <w:b/>
          <w:i/>
        </w:rPr>
      </w:pPr>
      <w:r w:rsidRPr="00662D6B">
        <w:rPr>
          <w:b/>
          <w:i/>
        </w:rPr>
        <w:t xml:space="preserve">42 - Rashodi za nabavu proizvedene dugotrajne imovine </w:t>
      </w:r>
    </w:p>
    <w:p w14:paraId="677B092A" w14:textId="215C4817" w:rsidR="00662D6B" w:rsidRPr="00662D6B" w:rsidRDefault="00662D6B" w:rsidP="00662D6B">
      <w:pPr>
        <w:jc w:val="both"/>
      </w:pPr>
      <w:r w:rsidRPr="00662D6B">
        <w:t xml:space="preserve">Rashodi za nabavu proizvedene dugotrajne imovine </w:t>
      </w:r>
      <w:r w:rsidR="000B4878">
        <w:t>nisu se značajnije mijenjali i iznose 2.100.000 eur</w:t>
      </w:r>
      <w:r w:rsidRPr="00662D6B">
        <w:t xml:space="preserve">, a </w:t>
      </w:r>
      <w:r w:rsidR="0015502F">
        <w:t>struktura rashoda za ovu grupu je slijedeća:</w:t>
      </w:r>
    </w:p>
    <w:p w14:paraId="761B813F" w14:textId="77777777" w:rsidR="00662D6B" w:rsidRPr="00662D6B" w:rsidRDefault="00662D6B" w:rsidP="00662D6B">
      <w:pPr>
        <w:jc w:val="both"/>
        <w:rPr>
          <w:i/>
        </w:rPr>
      </w:pPr>
      <w:r w:rsidRPr="00662D6B">
        <w:rPr>
          <w:i/>
        </w:rPr>
        <w:t>Građevinski objekti</w:t>
      </w:r>
    </w:p>
    <w:p w14:paraId="183A4ACC" w14:textId="5F89FDF4" w:rsidR="00662D6B" w:rsidRPr="00662D6B" w:rsidRDefault="00662D6B" w:rsidP="00662D6B">
      <w:pPr>
        <w:numPr>
          <w:ilvl w:val="0"/>
          <w:numId w:val="15"/>
        </w:numPr>
        <w:jc w:val="both"/>
      </w:pPr>
      <w:r w:rsidRPr="00662D6B">
        <w:t xml:space="preserve">Poslovni objekti planiraju se u iznosu od </w:t>
      </w:r>
      <w:r w:rsidR="000B4878">
        <w:t>2</w:t>
      </w:r>
      <w:r w:rsidRPr="00662D6B">
        <w:t xml:space="preserve">00.000 </w:t>
      </w:r>
      <w:r w:rsidR="00E26D83">
        <w:t>EUR</w:t>
      </w:r>
      <w:r w:rsidR="00615B75">
        <w:t>, planira se početak radova na izgradnji ulaza Lozovac</w:t>
      </w:r>
    </w:p>
    <w:p w14:paraId="0F541FCC" w14:textId="0BEF513E" w:rsidR="00662D6B" w:rsidRPr="00662D6B" w:rsidRDefault="00662D6B" w:rsidP="00662D6B">
      <w:pPr>
        <w:numPr>
          <w:ilvl w:val="0"/>
          <w:numId w:val="15"/>
        </w:numPr>
        <w:jc w:val="both"/>
      </w:pPr>
      <w:r w:rsidRPr="00662D6B">
        <w:t xml:space="preserve">Ceste, željeznice i slični građevinski objekti </w:t>
      </w:r>
      <w:r w:rsidR="000B4878">
        <w:t>1</w:t>
      </w:r>
      <w:r w:rsidRPr="00662D6B">
        <w:t xml:space="preserve">00.000 </w:t>
      </w:r>
      <w:r w:rsidR="00E26D83">
        <w:t>EUR</w:t>
      </w:r>
      <w:r w:rsidR="00615B75">
        <w:t xml:space="preserve"> (</w:t>
      </w:r>
      <w:r w:rsidR="00615B75" w:rsidRPr="00662D6B">
        <w:t xml:space="preserve">priprema dokumentacije za realizaciju projekta </w:t>
      </w:r>
      <w:r w:rsidR="00615B75" w:rsidRPr="00662D6B">
        <w:rPr>
          <w:bCs/>
        </w:rPr>
        <w:t>„Karavanskim putem kroz srednjovjekovnu prošlost Krke: revitalizacija riječnog prijelaza između utvrda Trošenj i</w:t>
      </w:r>
      <w:r w:rsidR="00615B75" w:rsidRPr="00662D6B">
        <w:rPr>
          <w:b/>
          <w:bCs/>
        </w:rPr>
        <w:t xml:space="preserve"> </w:t>
      </w:r>
      <w:r w:rsidR="00615B75" w:rsidRPr="00662D6B">
        <w:rPr>
          <w:bCs/>
        </w:rPr>
        <w:t>Nečven“</w:t>
      </w:r>
      <w:r w:rsidR="00615B75">
        <w:rPr>
          <w:bCs/>
        </w:rPr>
        <w:t>,...)</w:t>
      </w:r>
    </w:p>
    <w:p w14:paraId="2954849E" w14:textId="1A72AD87" w:rsidR="00662D6B" w:rsidRPr="00662D6B" w:rsidRDefault="00662D6B" w:rsidP="00662D6B">
      <w:pPr>
        <w:numPr>
          <w:ilvl w:val="0"/>
          <w:numId w:val="15"/>
        </w:numPr>
        <w:jc w:val="both"/>
      </w:pPr>
      <w:r w:rsidRPr="00662D6B">
        <w:t xml:space="preserve">Ostali građevinski objekti (uključuje izgradnju punionice za električne brodove iznad Skradinskog buka, </w:t>
      </w:r>
      <w:r w:rsidR="00E23747">
        <w:rPr>
          <w:bCs/>
        </w:rPr>
        <w:t>izgradnja sanitarnog čvora na manastiru Arhanđelovac</w:t>
      </w:r>
      <w:r w:rsidRPr="00662D6B">
        <w:t xml:space="preserve">...) </w:t>
      </w:r>
      <w:r w:rsidR="00857586">
        <w:t>2</w:t>
      </w:r>
      <w:r w:rsidRPr="00662D6B">
        <w:t xml:space="preserve">00.000 </w:t>
      </w:r>
      <w:r w:rsidR="00E26D83">
        <w:t>EUR</w:t>
      </w:r>
    </w:p>
    <w:p w14:paraId="2A705B05" w14:textId="77777777" w:rsidR="00662D6B" w:rsidRPr="00662D6B" w:rsidRDefault="00662D6B" w:rsidP="00662D6B">
      <w:pPr>
        <w:jc w:val="both"/>
        <w:rPr>
          <w:i/>
        </w:rPr>
      </w:pPr>
      <w:r w:rsidRPr="00662D6B">
        <w:rPr>
          <w:i/>
        </w:rPr>
        <w:t xml:space="preserve">Postrojenja  i oprema  </w:t>
      </w:r>
    </w:p>
    <w:p w14:paraId="33609C71" w14:textId="4E6AB718" w:rsidR="00662D6B" w:rsidRPr="00662D6B" w:rsidRDefault="00662D6B" w:rsidP="00662D6B">
      <w:pPr>
        <w:numPr>
          <w:ilvl w:val="0"/>
          <w:numId w:val="16"/>
        </w:numPr>
        <w:jc w:val="both"/>
      </w:pPr>
      <w:r w:rsidRPr="00662D6B">
        <w:t xml:space="preserve">Uredska oprema i namještaj  planira se u iznosu </w:t>
      </w:r>
      <w:r w:rsidR="000B4878">
        <w:t>7</w:t>
      </w:r>
      <w:r w:rsidRPr="00662D6B">
        <w:t xml:space="preserve">00.000 </w:t>
      </w:r>
      <w:r w:rsidR="00D72E17">
        <w:t>EUR</w:t>
      </w:r>
    </w:p>
    <w:p w14:paraId="1C5E7BC9" w14:textId="77777777" w:rsidR="00662D6B" w:rsidRPr="00662D6B" w:rsidRDefault="00662D6B" w:rsidP="00662D6B">
      <w:pPr>
        <w:numPr>
          <w:ilvl w:val="0"/>
          <w:numId w:val="16"/>
        </w:numPr>
        <w:jc w:val="both"/>
      </w:pPr>
      <w:r w:rsidRPr="00662D6B">
        <w:t xml:space="preserve">Komunikacijska oprema planira se u iznosu </w:t>
      </w:r>
      <w:r w:rsidR="00E26D83">
        <w:t>5</w:t>
      </w:r>
      <w:r w:rsidR="00E23747">
        <w:t>0</w:t>
      </w:r>
      <w:r w:rsidRPr="00662D6B">
        <w:t xml:space="preserve">.000 </w:t>
      </w:r>
      <w:r w:rsidR="00D72E17">
        <w:t xml:space="preserve">EUR </w:t>
      </w:r>
    </w:p>
    <w:p w14:paraId="6FBF9499" w14:textId="77777777" w:rsidR="00662D6B" w:rsidRPr="00662D6B" w:rsidRDefault="00662D6B" w:rsidP="00662D6B">
      <w:pPr>
        <w:numPr>
          <w:ilvl w:val="0"/>
          <w:numId w:val="16"/>
        </w:numPr>
        <w:jc w:val="both"/>
      </w:pPr>
      <w:r w:rsidRPr="00662D6B">
        <w:t xml:space="preserve">Oprema za održavanje i zaštitu planira se u iznosu </w:t>
      </w:r>
      <w:r w:rsidR="00E23747">
        <w:t>5</w:t>
      </w:r>
      <w:r w:rsidRPr="00662D6B">
        <w:t xml:space="preserve">0.000 </w:t>
      </w:r>
      <w:r w:rsidR="00D72E17">
        <w:t>EUR</w:t>
      </w:r>
    </w:p>
    <w:p w14:paraId="23B4B5D5" w14:textId="77777777" w:rsidR="00662D6B" w:rsidRPr="00662D6B" w:rsidRDefault="00662D6B" w:rsidP="00662D6B">
      <w:pPr>
        <w:numPr>
          <w:ilvl w:val="0"/>
          <w:numId w:val="16"/>
        </w:numPr>
        <w:jc w:val="both"/>
      </w:pPr>
      <w:r w:rsidRPr="00662D6B">
        <w:t xml:space="preserve">Medicinska i laboratorijska oprema planira se u iznosu </w:t>
      </w:r>
      <w:r w:rsidR="00E23747">
        <w:t>1</w:t>
      </w:r>
      <w:r w:rsidRPr="00662D6B">
        <w:t xml:space="preserve">0.000 </w:t>
      </w:r>
      <w:r w:rsidR="00D72E17">
        <w:t>EUR</w:t>
      </w:r>
    </w:p>
    <w:p w14:paraId="66B076C8" w14:textId="77777777" w:rsidR="00662D6B" w:rsidRDefault="00662D6B" w:rsidP="00662D6B">
      <w:pPr>
        <w:numPr>
          <w:ilvl w:val="0"/>
          <w:numId w:val="16"/>
        </w:numPr>
        <w:jc w:val="both"/>
      </w:pPr>
      <w:r w:rsidRPr="00662D6B">
        <w:t xml:space="preserve">Instrumenti, uređaji i strojevi planiraju se u iznosu </w:t>
      </w:r>
      <w:r w:rsidR="00E23747">
        <w:t>5</w:t>
      </w:r>
      <w:r w:rsidRPr="00662D6B">
        <w:t xml:space="preserve">0.000 </w:t>
      </w:r>
      <w:r w:rsidR="00D72E17">
        <w:t>EUR</w:t>
      </w:r>
    </w:p>
    <w:p w14:paraId="1AC9BEA9" w14:textId="77777777" w:rsidR="008A51AC" w:rsidRPr="00662D6B" w:rsidRDefault="008A51AC" w:rsidP="00662D6B">
      <w:pPr>
        <w:numPr>
          <w:ilvl w:val="0"/>
          <w:numId w:val="16"/>
        </w:numPr>
        <w:jc w:val="both"/>
      </w:pPr>
      <w:r>
        <w:t xml:space="preserve">Sportska i glazbena oprema </w:t>
      </w:r>
      <w:r w:rsidR="00CC5EB9">
        <w:t>planiraju se u iznosu od 10.000 EUR</w:t>
      </w:r>
    </w:p>
    <w:p w14:paraId="48A4115E" w14:textId="5ABEA5A4" w:rsidR="00662D6B" w:rsidRPr="00662D6B" w:rsidRDefault="00662D6B" w:rsidP="00662D6B">
      <w:pPr>
        <w:numPr>
          <w:ilvl w:val="0"/>
          <w:numId w:val="16"/>
        </w:numPr>
        <w:jc w:val="both"/>
      </w:pPr>
      <w:r w:rsidRPr="00662D6B">
        <w:t xml:space="preserve">Uređaji, strojevi i oprema za ostale namjene planiraju se u iznosu </w:t>
      </w:r>
      <w:r w:rsidR="000B4878">
        <w:t>10</w:t>
      </w:r>
      <w:r w:rsidRPr="00662D6B">
        <w:t xml:space="preserve">0.000 </w:t>
      </w:r>
      <w:r w:rsidR="00D72E17">
        <w:t>EUR</w:t>
      </w:r>
    </w:p>
    <w:p w14:paraId="593B10EC" w14:textId="77777777" w:rsidR="00662D6B" w:rsidRPr="00662D6B" w:rsidRDefault="00662D6B" w:rsidP="00662D6B">
      <w:pPr>
        <w:jc w:val="both"/>
      </w:pPr>
    </w:p>
    <w:p w14:paraId="4A051C67" w14:textId="77777777" w:rsidR="00662D6B" w:rsidRPr="00662D6B" w:rsidRDefault="00662D6B" w:rsidP="00662D6B">
      <w:pPr>
        <w:jc w:val="both"/>
        <w:rPr>
          <w:i/>
        </w:rPr>
      </w:pPr>
      <w:r w:rsidRPr="00662D6B">
        <w:rPr>
          <w:i/>
        </w:rPr>
        <w:t>Prijevozna sredstva</w:t>
      </w:r>
    </w:p>
    <w:p w14:paraId="411F801F" w14:textId="180DA4DA" w:rsidR="00662D6B" w:rsidRPr="00662D6B" w:rsidRDefault="00662D6B" w:rsidP="00662D6B">
      <w:pPr>
        <w:numPr>
          <w:ilvl w:val="0"/>
          <w:numId w:val="17"/>
        </w:numPr>
        <w:jc w:val="both"/>
      </w:pPr>
      <w:r w:rsidRPr="00662D6B">
        <w:t xml:space="preserve">Prijevozna sredstva u cestovnom prometu planiraju se u iznosu od </w:t>
      </w:r>
      <w:r w:rsidR="00E23747">
        <w:t>1</w:t>
      </w:r>
      <w:r w:rsidR="000B4878">
        <w:t>3</w:t>
      </w:r>
      <w:r w:rsidRPr="00662D6B">
        <w:t xml:space="preserve">0.000 </w:t>
      </w:r>
      <w:r w:rsidR="00604D81">
        <w:t>EUR</w:t>
      </w:r>
    </w:p>
    <w:p w14:paraId="708303E5" w14:textId="0019D570" w:rsidR="00662D6B" w:rsidRPr="00662D6B" w:rsidRDefault="00662D6B" w:rsidP="00662D6B">
      <w:pPr>
        <w:numPr>
          <w:ilvl w:val="0"/>
          <w:numId w:val="17"/>
        </w:numPr>
        <w:jc w:val="both"/>
      </w:pPr>
      <w:r w:rsidRPr="00662D6B">
        <w:t xml:space="preserve">Prijevozna sredstva u riječnom prometu planiraju se u iznosu </w:t>
      </w:r>
      <w:r w:rsidR="000B4878">
        <w:t>5</w:t>
      </w:r>
      <w:r w:rsidRPr="00662D6B">
        <w:t xml:space="preserve">0.000 </w:t>
      </w:r>
      <w:r w:rsidR="00604D81">
        <w:t>EUR</w:t>
      </w:r>
    </w:p>
    <w:p w14:paraId="6D3951D6" w14:textId="77777777" w:rsidR="00CC5EB9" w:rsidRDefault="00CC5EB9" w:rsidP="00662D6B">
      <w:pPr>
        <w:jc w:val="both"/>
        <w:rPr>
          <w:i/>
        </w:rPr>
      </w:pPr>
    </w:p>
    <w:p w14:paraId="4B058371" w14:textId="77777777" w:rsidR="00662D6B" w:rsidRPr="00662D6B" w:rsidRDefault="00662D6B" w:rsidP="00662D6B">
      <w:pPr>
        <w:jc w:val="both"/>
        <w:rPr>
          <w:i/>
        </w:rPr>
      </w:pPr>
      <w:r w:rsidRPr="00662D6B">
        <w:rPr>
          <w:i/>
        </w:rPr>
        <w:lastRenderedPageBreak/>
        <w:t>Ostale izložbene vrijednosti</w:t>
      </w:r>
    </w:p>
    <w:p w14:paraId="2D9053E7" w14:textId="77777777" w:rsidR="00662D6B" w:rsidRPr="00662D6B" w:rsidRDefault="00662D6B" w:rsidP="00662D6B">
      <w:pPr>
        <w:numPr>
          <w:ilvl w:val="0"/>
          <w:numId w:val="18"/>
        </w:numPr>
        <w:jc w:val="both"/>
      </w:pPr>
      <w:r w:rsidRPr="00662D6B">
        <w:t xml:space="preserve">planiraju se u iznosu od </w:t>
      </w:r>
      <w:r w:rsidR="00FC68E3">
        <w:t>5</w:t>
      </w:r>
      <w:r w:rsidRPr="00662D6B">
        <w:t>0.000</w:t>
      </w:r>
      <w:r w:rsidR="00604D81">
        <w:t xml:space="preserve"> </w:t>
      </w:r>
      <w:r w:rsidR="00D72E17">
        <w:t>EUR</w:t>
      </w:r>
      <w:r w:rsidRPr="00662D6B">
        <w:t xml:space="preserve"> za nabavu izložbene opreme za prirod</w:t>
      </w:r>
      <w:r w:rsidR="00CC5EB9">
        <w:t xml:space="preserve">oslovnu i arheološku zbirku, </w:t>
      </w:r>
      <w:r w:rsidRPr="00662D6B">
        <w:t>nabavu etno predmeta, recentnih knjiga, starih rukopisa i zemljopisnih karata za fundus knjižnice, otkup arhiva pisanih povijesnih dokumenata i starih karata (muzejska građa) i slično.</w:t>
      </w:r>
    </w:p>
    <w:p w14:paraId="14EF9432" w14:textId="77777777" w:rsidR="00CC5EB9" w:rsidRDefault="00CC5EB9" w:rsidP="00662D6B">
      <w:pPr>
        <w:jc w:val="both"/>
        <w:rPr>
          <w:i/>
        </w:rPr>
      </w:pPr>
    </w:p>
    <w:p w14:paraId="4614FC62" w14:textId="77777777" w:rsidR="00662D6B" w:rsidRPr="00662D6B" w:rsidRDefault="00662D6B" w:rsidP="00662D6B">
      <w:pPr>
        <w:jc w:val="both"/>
        <w:rPr>
          <w:i/>
        </w:rPr>
      </w:pPr>
      <w:r w:rsidRPr="00662D6B">
        <w:rPr>
          <w:i/>
        </w:rPr>
        <w:t xml:space="preserve">Nematerijalna proizvedena imovina </w:t>
      </w:r>
    </w:p>
    <w:p w14:paraId="2E231A9D" w14:textId="62EB11ED" w:rsidR="00662D6B" w:rsidRPr="00662D6B" w:rsidRDefault="00662D6B" w:rsidP="00662D6B">
      <w:pPr>
        <w:numPr>
          <w:ilvl w:val="0"/>
          <w:numId w:val="18"/>
        </w:numPr>
        <w:jc w:val="both"/>
      </w:pPr>
      <w:r w:rsidRPr="00662D6B">
        <w:t xml:space="preserve">Ulaganja u računalne programe planiraju se u iznosu od </w:t>
      </w:r>
      <w:r w:rsidR="000B4878">
        <w:t>20</w:t>
      </w:r>
      <w:r w:rsidR="00FC68E3">
        <w:t>0</w:t>
      </w:r>
      <w:r w:rsidR="00D72E17">
        <w:t>.</w:t>
      </w:r>
      <w:r w:rsidR="00FC68E3">
        <w:t>000</w:t>
      </w:r>
      <w:r w:rsidR="00D72E17">
        <w:t xml:space="preserve"> EUR</w:t>
      </w:r>
    </w:p>
    <w:p w14:paraId="13C0B8CD" w14:textId="77777777" w:rsidR="00D72E17" w:rsidRDefault="00662D6B" w:rsidP="00662D6B">
      <w:pPr>
        <w:numPr>
          <w:ilvl w:val="0"/>
          <w:numId w:val="18"/>
        </w:numPr>
        <w:jc w:val="both"/>
      </w:pPr>
      <w:r w:rsidRPr="00662D6B">
        <w:t xml:space="preserve">Umjetnička, literarna i znanstvena djela – </w:t>
      </w:r>
      <w:r w:rsidR="00FC68E3">
        <w:t>5</w:t>
      </w:r>
      <w:r w:rsidRPr="00662D6B">
        <w:t xml:space="preserve">0.000 </w:t>
      </w:r>
      <w:r w:rsidR="00D72E17">
        <w:t>EUR</w:t>
      </w:r>
    </w:p>
    <w:p w14:paraId="637E5A0D" w14:textId="77777777" w:rsidR="00662D6B" w:rsidRPr="00662D6B" w:rsidRDefault="00662D6B" w:rsidP="00662D6B">
      <w:pPr>
        <w:numPr>
          <w:ilvl w:val="0"/>
          <w:numId w:val="18"/>
        </w:numPr>
        <w:jc w:val="both"/>
      </w:pPr>
      <w:r w:rsidRPr="00662D6B">
        <w:t xml:space="preserve">Ostala nematerijalna proizvedena imovina planira se u iznosu </w:t>
      </w:r>
      <w:r w:rsidR="00E26D83">
        <w:t>15</w:t>
      </w:r>
      <w:r w:rsidRPr="00662D6B">
        <w:t xml:space="preserve">0.000 </w:t>
      </w:r>
      <w:r w:rsidR="00D72E17">
        <w:t>EUR</w:t>
      </w:r>
      <w:r w:rsidRPr="00662D6B">
        <w:t>, a det</w:t>
      </w:r>
      <w:r w:rsidR="00CC5EB9">
        <w:t>aljni prikaz bit će pojašnjen</w:t>
      </w:r>
      <w:r w:rsidRPr="00662D6B">
        <w:t xml:space="preserve"> u Godišnjem programu zaštite, održavanja, očuvanja, promicanja i korištenja Nacionalnog parka „Krka“ za 202</w:t>
      </w:r>
      <w:r w:rsidR="00FC68E3">
        <w:t>4</w:t>
      </w:r>
      <w:r w:rsidRPr="00662D6B">
        <w:t>. godinu.</w:t>
      </w:r>
    </w:p>
    <w:p w14:paraId="01518CCD" w14:textId="77777777" w:rsidR="00CC5EB9" w:rsidRDefault="00CC5EB9" w:rsidP="00662D6B">
      <w:pPr>
        <w:jc w:val="both"/>
        <w:rPr>
          <w:b/>
          <w:i/>
        </w:rPr>
      </w:pPr>
    </w:p>
    <w:p w14:paraId="3093536A" w14:textId="77777777" w:rsidR="00662D6B" w:rsidRPr="00662D6B" w:rsidRDefault="00662D6B" w:rsidP="00662D6B">
      <w:pPr>
        <w:jc w:val="both"/>
        <w:rPr>
          <w:b/>
          <w:i/>
        </w:rPr>
      </w:pPr>
      <w:r w:rsidRPr="00662D6B">
        <w:rPr>
          <w:b/>
          <w:i/>
        </w:rPr>
        <w:t>45 - Rashodi za dodatna ulaganja na nefinancijskoj imovini</w:t>
      </w:r>
    </w:p>
    <w:p w14:paraId="1EF3D32A" w14:textId="0CF1CFB5" w:rsidR="00662D6B" w:rsidRPr="00662D6B" w:rsidRDefault="00662D6B" w:rsidP="00662D6B">
      <w:pPr>
        <w:numPr>
          <w:ilvl w:val="0"/>
          <w:numId w:val="19"/>
        </w:numPr>
        <w:jc w:val="both"/>
      </w:pPr>
      <w:r w:rsidRPr="00662D6B">
        <w:t xml:space="preserve">Dodatna ulaganja na građevinskim objektima </w:t>
      </w:r>
      <w:r w:rsidR="000B4878">
        <w:t>povećani su u odnosu na plan i iznose 9</w:t>
      </w:r>
      <w:r w:rsidR="00FC68E3">
        <w:t>15</w:t>
      </w:r>
      <w:r w:rsidRPr="00662D6B">
        <w:t xml:space="preserve">.000 </w:t>
      </w:r>
      <w:r w:rsidR="00D72E17">
        <w:t xml:space="preserve">EUR </w:t>
      </w:r>
      <w:r w:rsidRPr="00662D6B">
        <w:t xml:space="preserve">i odnose se uglavnom na </w:t>
      </w:r>
      <w:r w:rsidR="0015502F">
        <w:t xml:space="preserve">dodatne radove </w:t>
      </w:r>
      <w:r w:rsidRPr="00662D6B">
        <w:t>u Eko kam</w:t>
      </w:r>
      <w:r w:rsidR="0015502F">
        <w:t>p</w:t>
      </w:r>
      <w:r w:rsidRPr="00662D6B">
        <w:t>usu „Krka“ u Puljanima</w:t>
      </w:r>
    </w:p>
    <w:p w14:paraId="0AF8C671" w14:textId="77777777" w:rsidR="00662D6B" w:rsidRPr="00662D6B" w:rsidRDefault="00662D6B" w:rsidP="00662D6B">
      <w:pPr>
        <w:numPr>
          <w:ilvl w:val="0"/>
          <w:numId w:val="19"/>
        </w:numPr>
        <w:jc w:val="both"/>
      </w:pPr>
      <w:r w:rsidRPr="00662D6B">
        <w:t xml:space="preserve">Dodatna ulaganja na postrojenjima i opremi planiraju se u iznosu </w:t>
      </w:r>
      <w:r w:rsidR="00FC68E3">
        <w:t>15</w:t>
      </w:r>
      <w:r w:rsidRPr="00662D6B">
        <w:t>.000 kn</w:t>
      </w:r>
      <w:r w:rsidR="00D72E17">
        <w:t xml:space="preserve"> EUR</w:t>
      </w:r>
    </w:p>
    <w:p w14:paraId="04E1A686" w14:textId="7D314D6F" w:rsidR="00662D6B" w:rsidRPr="00662D6B" w:rsidRDefault="00662D6B" w:rsidP="00662D6B">
      <w:pPr>
        <w:numPr>
          <w:ilvl w:val="0"/>
          <w:numId w:val="19"/>
        </w:numPr>
        <w:jc w:val="both"/>
      </w:pPr>
      <w:r w:rsidRPr="00662D6B">
        <w:t xml:space="preserve">Dodatna ulaganja na prijevoznim sredstvima </w:t>
      </w:r>
      <w:r w:rsidR="0049700B">
        <w:t xml:space="preserve">planiraju se u iznosu od </w:t>
      </w:r>
      <w:r w:rsidR="000B4878">
        <w:t>15</w:t>
      </w:r>
      <w:r w:rsidR="00FC68E3">
        <w:t>0</w:t>
      </w:r>
      <w:r w:rsidRPr="00662D6B">
        <w:t xml:space="preserve">.000 </w:t>
      </w:r>
      <w:r w:rsidR="00D72E17">
        <w:t>EUR.</w:t>
      </w:r>
    </w:p>
    <w:p w14:paraId="5FBE06C2" w14:textId="77777777" w:rsidR="009624D6" w:rsidRPr="001703C3" w:rsidRDefault="009624D6" w:rsidP="00662D6B">
      <w:pPr>
        <w:jc w:val="both"/>
        <w:rPr>
          <w:b/>
        </w:rPr>
      </w:pPr>
    </w:p>
    <w:sectPr w:rsidR="009624D6" w:rsidRPr="001703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60F1C" w14:textId="77777777" w:rsidR="008F2C1C" w:rsidRDefault="008F2C1C">
      <w:pPr>
        <w:spacing w:after="0" w:line="240" w:lineRule="auto"/>
      </w:pPr>
      <w:r>
        <w:separator/>
      </w:r>
    </w:p>
  </w:endnote>
  <w:endnote w:type="continuationSeparator" w:id="0">
    <w:p w14:paraId="20795524" w14:textId="77777777" w:rsidR="008F2C1C" w:rsidRDefault="008F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NeueCE-Th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125233"/>
    </w:sdtPr>
    <w:sdtEndPr/>
    <w:sdtContent>
      <w:p w14:paraId="509DC8F3" w14:textId="0A886F33" w:rsidR="00093DC8" w:rsidRDefault="00093D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74">
          <w:rPr>
            <w:noProof/>
          </w:rPr>
          <w:t>20</w:t>
        </w:r>
        <w:r>
          <w:fldChar w:fldCharType="end"/>
        </w:r>
      </w:p>
    </w:sdtContent>
  </w:sdt>
  <w:p w14:paraId="5032E632" w14:textId="77777777" w:rsidR="00093DC8" w:rsidRDefault="00093D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96912" w14:textId="77777777" w:rsidR="00093DC8" w:rsidRDefault="00093DC8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8AEC4" w14:textId="77777777" w:rsidR="008F2C1C" w:rsidRDefault="008F2C1C">
      <w:pPr>
        <w:spacing w:after="0" w:line="240" w:lineRule="auto"/>
      </w:pPr>
      <w:r>
        <w:separator/>
      </w:r>
    </w:p>
  </w:footnote>
  <w:footnote w:type="continuationSeparator" w:id="0">
    <w:p w14:paraId="67D41774" w14:textId="77777777" w:rsidR="008F2C1C" w:rsidRDefault="008F2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645"/>
    <w:multiLevelType w:val="multilevel"/>
    <w:tmpl w:val="058566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0D64"/>
    <w:multiLevelType w:val="multilevel"/>
    <w:tmpl w:val="08240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1BE3"/>
    <w:multiLevelType w:val="multilevel"/>
    <w:tmpl w:val="107F1BE3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F3314C"/>
    <w:multiLevelType w:val="multilevel"/>
    <w:tmpl w:val="19F3314C"/>
    <w:lvl w:ilvl="0">
      <w:start w:val="1"/>
      <w:numFmt w:val="decimal"/>
      <w:pStyle w:val="Heading2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423" w:hanging="720"/>
      </w:pPr>
      <w:rPr>
        <w:rFonts w:hint="default"/>
      </w:rPr>
    </w:lvl>
    <w:lvl w:ilvl="2">
      <w:start w:val="1"/>
      <w:numFmt w:val="decimal"/>
      <w:pStyle w:val="Heading5"/>
      <w:isLgl/>
      <w:lvlText w:val="%1.%2.%3."/>
      <w:lvlJc w:val="left"/>
      <w:pPr>
        <w:ind w:left="4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12" w:hanging="1800"/>
      </w:pPr>
      <w:rPr>
        <w:rFonts w:hint="default"/>
      </w:rPr>
    </w:lvl>
  </w:abstractNum>
  <w:abstractNum w:abstractNumId="4" w15:restartNumberingAfterBreak="0">
    <w:nsid w:val="1B653348"/>
    <w:multiLevelType w:val="multilevel"/>
    <w:tmpl w:val="1B6533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486A"/>
    <w:multiLevelType w:val="multilevel"/>
    <w:tmpl w:val="1B69486A"/>
    <w:lvl w:ilvl="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FBB70F0"/>
    <w:multiLevelType w:val="multilevel"/>
    <w:tmpl w:val="1FBB7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3"/>
      <w:isLgl/>
      <w:lvlText w:val="%1.%2."/>
      <w:lvlJc w:val="left"/>
      <w:pPr>
        <w:ind w:left="1845" w:hanging="720"/>
      </w:pPr>
      <w:rPr>
        <w:rFonts w:ascii="Times New Roman" w:hAnsi="Times New Roman" w:hint="default"/>
        <w:i w:val="0"/>
        <w:color w:val="008080"/>
        <w:sz w:val="32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ascii="Times New Roman" w:hAnsi="Times New Roman" w:hint="default"/>
        <w:i w:val="0"/>
        <w:color w:val="008080"/>
        <w:sz w:val="32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ascii="Times New Roman" w:hAnsi="Times New Roman" w:hint="default"/>
        <w:i w:val="0"/>
        <w:color w:val="008080"/>
        <w:sz w:val="32"/>
      </w:rPr>
    </w:lvl>
    <w:lvl w:ilvl="4">
      <w:start w:val="1"/>
      <w:numFmt w:val="decimal"/>
      <w:isLgl/>
      <w:lvlText w:val="%1.%2.%3.%4.%5."/>
      <w:lvlJc w:val="left"/>
      <w:pPr>
        <w:ind w:left="4860" w:hanging="1440"/>
      </w:pPr>
      <w:rPr>
        <w:rFonts w:ascii="Times New Roman" w:hAnsi="Times New Roman" w:hint="default"/>
        <w:i w:val="0"/>
        <w:color w:val="008080"/>
        <w:sz w:val="32"/>
      </w:rPr>
    </w:lvl>
    <w:lvl w:ilvl="5">
      <w:start w:val="1"/>
      <w:numFmt w:val="decimal"/>
      <w:isLgl/>
      <w:lvlText w:val="%1.%2.%3.%4.%5.%6."/>
      <w:lvlJc w:val="left"/>
      <w:pPr>
        <w:ind w:left="5625" w:hanging="1440"/>
      </w:pPr>
      <w:rPr>
        <w:rFonts w:ascii="Times New Roman" w:hAnsi="Times New Roman" w:hint="default"/>
        <w:i w:val="0"/>
        <w:color w:val="008080"/>
        <w:sz w:val="32"/>
      </w:rPr>
    </w:lvl>
    <w:lvl w:ilvl="6">
      <w:start w:val="1"/>
      <w:numFmt w:val="decimal"/>
      <w:isLgl/>
      <w:lvlText w:val="%1.%2.%3.%4.%5.%6.%7."/>
      <w:lvlJc w:val="left"/>
      <w:pPr>
        <w:ind w:left="6750" w:hanging="1800"/>
      </w:pPr>
      <w:rPr>
        <w:rFonts w:ascii="Times New Roman" w:hAnsi="Times New Roman" w:hint="default"/>
        <w:i w:val="0"/>
        <w:color w:val="008080"/>
        <w:sz w:val="32"/>
      </w:rPr>
    </w:lvl>
    <w:lvl w:ilvl="7">
      <w:start w:val="1"/>
      <w:numFmt w:val="decimal"/>
      <w:isLgl/>
      <w:lvlText w:val="%1.%2.%3.%4.%5.%6.%7.%8."/>
      <w:lvlJc w:val="left"/>
      <w:pPr>
        <w:ind w:left="7875" w:hanging="2160"/>
      </w:pPr>
      <w:rPr>
        <w:rFonts w:ascii="Times New Roman" w:hAnsi="Times New Roman" w:hint="default"/>
        <w:i w:val="0"/>
        <w:color w:val="008080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hint="default"/>
        <w:i w:val="0"/>
        <w:color w:val="008080"/>
        <w:sz w:val="32"/>
      </w:rPr>
    </w:lvl>
  </w:abstractNum>
  <w:abstractNum w:abstractNumId="7" w15:restartNumberingAfterBreak="0">
    <w:nsid w:val="22D86F17"/>
    <w:multiLevelType w:val="multilevel"/>
    <w:tmpl w:val="4F2843C8"/>
    <w:lvl w:ilvl="0">
      <w:start w:val="1"/>
      <w:numFmt w:val="upperRoman"/>
      <w:pStyle w:val="Heading1"/>
      <w:lvlText w:val="%1.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1">
      <w:start w:val="1"/>
      <w:numFmt w:val="decimal"/>
      <w:pStyle w:val="Heading4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8" w15:restartNumberingAfterBreak="0">
    <w:nsid w:val="2E90093A"/>
    <w:multiLevelType w:val="multilevel"/>
    <w:tmpl w:val="2E900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85DC5"/>
    <w:multiLevelType w:val="multilevel"/>
    <w:tmpl w:val="202C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90DDB"/>
    <w:multiLevelType w:val="multilevel"/>
    <w:tmpl w:val="2F190D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F4521"/>
    <w:multiLevelType w:val="multilevel"/>
    <w:tmpl w:val="346F4521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8EE2F89"/>
    <w:multiLevelType w:val="hybridMultilevel"/>
    <w:tmpl w:val="0694BD5C"/>
    <w:lvl w:ilvl="0" w:tplc="6F1CDC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F397C"/>
    <w:multiLevelType w:val="multilevel"/>
    <w:tmpl w:val="3ADF39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52164"/>
    <w:multiLevelType w:val="multilevel"/>
    <w:tmpl w:val="86A6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41D44"/>
    <w:multiLevelType w:val="multilevel"/>
    <w:tmpl w:val="44041D44"/>
    <w:lvl w:ilvl="0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5A692625"/>
    <w:multiLevelType w:val="hybridMultilevel"/>
    <w:tmpl w:val="5DEA5C2A"/>
    <w:lvl w:ilvl="0" w:tplc="EFEAA04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5E9D6B97"/>
    <w:multiLevelType w:val="multilevel"/>
    <w:tmpl w:val="5E9D6B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9297D"/>
    <w:multiLevelType w:val="multilevel"/>
    <w:tmpl w:val="639929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66F29"/>
    <w:multiLevelType w:val="multilevel"/>
    <w:tmpl w:val="68A66F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0694B"/>
    <w:multiLevelType w:val="multilevel"/>
    <w:tmpl w:val="6ADACD5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1440"/>
      </w:pPr>
      <w:rPr>
        <w:rFonts w:hint="default"/>
      </w:rPr>
    </w:lvl>
  </w:abstractNum>
  <w:abstractNum w:abstractNumId="21" w15:restartNumberingAfterBreak="0">
    <w:nsid w:val="7C150B68"/>
    <w:multiLevelType w:val="multilevel"/>
    <w:tmpl w:val="7C150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D3EB3"/>
    <w:multiLevelType w:val="hybridMultilevel"/>
    <w:tmpl w:val="E0744232"/>
    <w:lvl w:ilvl="0" w:tplc="1DCA4FE2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1"/>
  </w:num>
  <w:num w:numId="6">
    <w:abstractNumId w:val="3"/>
    <w:lvlOverride w:ilvl="0">
      <w:startOverride w:val="1"/>
    </w:lvlOverride>
  </w:num>
  <w:num w:numId="7">
    <w:abstractNumId w:val="17"/>
  </w:num>
  <w:num w:numId="8">
    <w:abstractNumId w:val="7"/>
    <w:lvlOverride w:ilvl="0">
      <w:startOverride w:val="2"/>
    </w:lvlOverride>
    <w:lvlOverride w:ilvl="1">
      <w:startOverride w:val="1"/>
    </w:lvlOverride>
  </w:num>
  <w:num w:numId="9">
    <w:abstractNumId w:val="15"/>
  </w:num>
  <w:num w:numId="10">
    <w:abstractNumId w:val="1"/>
  </w:num>
  <w:num w:numId="11">
    <w:abstractNumId w:val="21"/>
  </w:num>
  <w:num w:numId="12">
    <w:abstractNumId w:val="19"/>
  </w:num>
  <w:num w:numId="13">
    <w:abstractNumId w:val="2"/>
  </w:num>
  <w:num w:numId="14">
    <w:abstractNumId w:val="0"/>
  </w:num>
  <w:num w:numId="15">
    <w:abstractNumId w:val="10"/>
  </w:num>
  <w:num w:numId="16">
    <w:abstractNumId w:val="13"/>
  </w:num>
  <w:num w:numId="17">
    <w:abstractNumId w:val="8"/>
  </w:num>
  <w:num w:numId="18">
    <w:abstractNumId w:val="4"/>
  </w:num>
  <w:num w:numId="19">
    <w:abstractNumId w:val="18"/>
  </w:num>
  <w:num w:numId="20">
    <w:abstractNumId w:val="9"/>
  </w:num>
  <w:num w:numId="21">
    <w:abstractNumId w:val="14"/>
  </w:num>
  <w:num w:numId="22">
    <w:abstractNumId w:val="22"/>
  </w:num>
  <w:num w:numId="23">
    <w:abstractNumId w:val="20"/>
  </w:num>
  <w:num w:numId="24">
    <w:abstractNumId w:val="7"/>
    <w:lvlOverride w:ilvl="0">
      <w:startOverride w:val="1"/>
    </w:lvlOverride>
    <w:lvlOverride w:ilvl="1">
      <w:startOverride w:val="1"/>
    </w:lvlOverride>
  </w:num>
  <w:num w:numId="25">
    <w:abstractNumId w:val="12"/>
  </w:num>
  <w:num w:numId="26">
    <w:abstractNumId w:val="16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28"/>
    <w:rsid w:val="00022A76"/>
    <w:rsid w:val="00022FA4"/>
    <w:rsid w:val="00024006"/>
    <w:rsid w:val="00030630"/>
    <w:rsid w:val="000439F0"/>
    <w:rsid w:val="00050AD4"/>
    <w:rsid w:val="00056469"/>
    <w:rsid w:val="00056B20"/>
    <w:rsid w:val="00061E34"/>
    <w:rsid w:val="00064271"/>
    <w:rsid w:val="0006618C"/>
    <w:rsid w:val="000718BC"/>
    <w:rsid w:val="00072593"/>
    <w:rsid w:val="00080A6D"/>
    <w:rsid w:val="0008204E"/>
    <w:rsid w:val="00082351"/>
    <w:rsid w:val="00083B45"/>
    <w:rsid w:val="00085528"/>
    <w:rsid w:val="00093152"/>
    <w:rsid w:val="00093DC8"/>
    <w:rsid w:val="00094517"/>
    <w:rsid w:val="000A3C2F"/>
    <w:rsid w:val="000A46DB"/>
    <w:rsid w:val="000A7125"/>
    <w:rsid w:val="000B4878"/>
    <w:rsid w:val="000B5EED"/>
    <w:rsid w:val="000C515E"/>
    <w:rsid w:val="000C5ADA"/>
    <w:rsid w:val="000C67D0"/>
    <w:rsid w:val="000D7FF9"/>
    <w:rsid w:val="000F23EE"/>
    <w:rsid w:val="001041FF"/>
    <w:rsid w:val="0011006D"/>
    <w:rsid w:val="00115EC5"/>
    <w:rsid w:val="0012081B"/>
    <w:rsid w:val="00122A01"/>
    <w:rsid w:val="00122D69"/>
    <w:rsid w:val="001231BC"/>
    <w:rsid w:val="001275BD"/>
    <w:rsid w:val="00132E41"/>
    <w:rsid w:val="00143638"/>
    <w:rsid w:val="001448A9"/>
    <w:rsid w:val="0015502F"/>
    <w:rsid w:val="001562CD"/>
    <w:rsid w:val="0015787D"/>
    <w:rsid w:val="0016048C"/>
    <w:rsid w:val="001624F2"/>
    <w:rsid w:val="0016352F"/>
    <w:rsid w:val="001703C3"/>
    <w:rsid w:val="00181884"/>
    <w:rsid w:val="00184A55"/>
    <w:rsid w:val="00186E6D"/>
    <w:rsid w:val="001B0A49"/>
    <w:rsid w:val="001B5767"/>
    <w:rsid w:val="001B5785"/>
    <w:rsid w:val="001C3525"/>
    <w:rsid w:val="001C55CA"/>
    <w:rsid w:val="001C7E82"/>
    <w:rsid w:val="001D5592"/>
    <w:rsid w:val="001D65B1"/>
    <w:rsid w:val="001E0217"/>
    <w:rsid w:val="001E0808"/>
    <w:rsid w:val="001E111D"/>
    <w:rsid w:val="001E6328"/>
    <w:rsid w:val="002016D4"/>
    <w:rsid w:val="00212D48"/>
    <w:rsid w:val="002161B2"/>
    <w:rsid w:val="002262AB"/>
    <w:rsid w:val="00236DC8"/>
    <w:rsid w:val="002448A4"/>
    <w:rsid w:val="002453F3"/>
    <w:rsid w:val="00246D36"/>
    <w:rsid w:val="00251AB8"/>
    <w:rsid w:val="00253FCF"/>
    <w:rsid w:val="00265804"/>
    <w:rsid w:val="00271E53"/>
    <w:rsid w:val="002727C1"/>
    <w:rsid w:val="002740DF"/>
    <w:rsid w:val="00275A5C"/>
    <w:rsid w:val="002802C1"/>
    <w:rsid w:val="00283E3E"/>
    <w:rsid w:val="00296637"/>
    <w:rsid w:val="002A1519"/>
    <w:rsid w:val="002A1E64"/>
    <w:rsid w:val="002A4AF1"/>
    <w:rsid w:val="002A5F72"/>
    <w:rsid w:val="002B2E9F"/>
    <w:rsid w:val="002B68A8"/>
    <w:rsid w:val="002C07CB"/>
    <w:rsid w:val="002D12DC"/>
    <w:rsid w:val="002E0E46"/>
    <w:rsid w:val="002E3254"/>
    <w:rsid w:val="002E554B"/>
    <w:rsid w:val="002F321F"/>
    <w:rsid w:val="002F4FE5"/>
    <w:rsid w:val="002F5785"/>
    <w:rsid w:val="002F7CA7"/>
    <w:rsid w:val="003002AF"/>
    <w:rsid w:val="0030034B"/>
    <w:rsid w:val="00310284"/>
    <w:rsid w:val="00310349"/>
    <w:rsid w:val="00311FAC"/>
    <w:rsid w:val="00312539"/>
    <w:rsid w:val="003128C2"/>
    <w:rsid w:val="00314F9E"/>
    <w:rsid w:val="00321258"/>
    <w:rsid w:val="00324FAB"/>
    <w:rsid w:val="003461A6"/>
    <w:rsid w:val="003524D6"/>
    <w:rsid w:val="00366756"/>
    <w:rsid w:val="003671C4"/>
    <w:rsid w:val="00367FEB"/>
    <w:rsid w:val="00376245"/>
    <w:rsid w:val="00377EC8"/>
    <w:rsid w:val="00395857"/>
    <w:rsid w:val="003A2126"/>
    <w:rsid w:val="003B1AA6"/>
    <w:rsid w:val="003C065B"/>
    <w:rsid w:val="003C7ABA"/>
    <w:rsid w:val="003D04B0"/>
    <w:rsid w:val="003E0555"/>
    <w:rsid w:val="003E16D2"/>
    <w:rsid w:val="003F2108"/>
    <w:rsid w:val="003F3A0E"/>
    <w:rsid w:val="003F3EA0"/>
    <w:rsid w:val="003F7B26"/>
    <w:rsid w:val="00403D41"/>
    <w:rsid w:val="00403E02"/>
    <w:rsid w:val="004062CF"/>
    <w:rsid w:val="00413D64"/>
    <w:rsid w:val="00416DE3"/>
    <w:rsid w:val="004331B3"/>
    <w:rsid w:val="00433E80"/>
    <w:rsid w:val="00434917"/>
    <w:rsid w:val="00440730"/>
    <w:rsid w:val="0044163E"/>
    <w:rsid w:val="00454004"/>
    <w:rsid w:val="004551B3"/>
    <w:rsid w:val="0045577A"/>
    <w:rsid w:val="0045799A"/>
    <w:rsid w:val="00460A0A"/>
    <w:rsid w:val="004638C5"/>
    <w:rsid w:val="0048185C"/>
    <w:rsid w:val="004827B6"/>
    <w:rsid w:val="00483CA7"/>
    <w:rsid w:val="00483EA3"/>
    <w:rsid w:val="004848FF"/>
    <w:rsid w:val="00491072"/>
    <w:rsid w:val="0049189F"/>
    <w:rsid w:val="004938C1"/>
    <w:rsid w:val="00494A03"/>
    <w:rsid w:val="0049700B"/>
    <w:rsid w:val="00497792"/>
    <w:rsid w:val="004A2508"/>
    <w:rsid w:val="004A666C"/>
    <w:rsid w:val="004B0314"/>
    <w:rsid w:val="004B1372"/>
    <w:rsid w:val="004B1B8A"/>
    <w:rsid w:val="004B3BC3"/>
    <w:rsid w:val="004C003F"/>
    <w:rsid w:val="004C0CAB"/>
    <w:rsid w:val="004C7BBE"/>
    <w:rsid w:val="004D2D6B"/>
    <w:rsid w:val="004D3441"/>
    <w:rsid w:val="004E0907"/>
    <w:rsid w:val="004E2D7C"/>
    <w:rsid w:val="004E3E4F"/>
    <w:rsid w:val="004F001E"/>
    <w:rsid w:val="004F38E4"/>
    <w:rsid w:val="00500CEA"/>
    <w:rsid w:val="005013FD"/>
    <w:rsid w:val="00507469"/>
    <w:rsid w:val="00513C78"/>
    <w:rsid w:val="005241A2"/>
    <w:rsid w:val="00535BFC"/>
    <w:rsid w:val="00540C14"/>
    <w:rsid w:val="00541072"/>
    <w:rsid w:val="00544843"/>
    <w:rsid w:val="00544DEA"/>
    <w:rsid w:val="005459E8"/>
    <w:rsid w:val="00547A57"/>
    <w:rsid w:val="00547DE8"/>
    <w:rsid w:val="00550D5B"/>
    <w:rsid w:val="005527B5"/>
    <w:rsid w:val="00553E18"/>
    <w:rsid w:val="00553E46"/>
    <w:rsid w:val="00556FEA"/>
    <w:rsid w:val="00564C2E"/>
    <w:rsid w:val="005717CC"/>
    <w:rsid w:val="00574153"/>
    <w:rsid w:val="0057484E"/>
    <w:rsid w:val="0057647D"/>
    <w:rsid w:val="005921B0"/>
    <w:rsid w:val="005922FD"/>
    <w:rsid w:val="005A01C1"/>
    <w:rsid w:val="005B2738"/>
    <w:rsid w:val="005C2982"/>
    <w:rsid w:val="005D17A1"/>
    <w:rsid w:val="005D625A"/>
    <w:rsid w:val="005D70F7"/>
    <w:rsid w:val="005D7247"/>
    <w:rsid w:val="005E113C"/>
    <w:rsid w:val="005F6052"/>
    <w:rsid w:val="0060041E"/>
    <w:rsid w:val="0060072D"/>
    <w:rsid w:val="00602172"/>
    <w:rsid w:val="0060482A"/>
    <w:rsid w:val="00604D81"/>
    <w:rsid w:val="00604E73"/>
    <w:rsid w:val="00612435"/>
    <w:rsid w:val="00615B75"/>
    <w:rsid w:val="006209E2"/>
    <w:rsid w:val="00622994"/>
    <w:rsid w:val="006232BD"/>
    <w:rsid w:val="00625935"/>
    <w:rsid w:val="006318E6"/>
    <w:rsid w:val="006344CD"/>
    <w:rsid w:val="006348F0"/>
    <w:rsid w:val="00637631"/>
    <w:rsid w:val="00647555"/>
    <w:rsid w:val="00653F9B"/>
    <w:rsid w:val="00655BD9"/>
    <w:rsid w:val="00657034"/>
    <w:rsid w:val="00662D6B"/>
    <w:rsid w:val="00664A7D"/>
    <w:rsid w:val="00665028"/>
    <w:rsid w:val="00665C5E"/>
    <w:rsid w:val="00666F12"/>
    <w:rsid w:val="00667EB1"/>
    <w:rsid w:val="00670BDD"/>
    <w:rsid w:val="00683008"/>
    <w:rsid w:val="00683743"/>
    <w:rsid w:val="00683A17"/>
    <w:rsid w:val="006840EC"/>
    <w:rsid w:val="00686305"/>
    <w:rsid w:val="006953ED"/>
    <w:rsid w:val="00695C38"/>
    <w:rsid w:val="006A16D1"/>
    <w:rsid w:val="006A5377"/>
    <w:rsid w:val="006B0846"/>
    <w:rsid w:val="006B7D44"/>
    <w:rsid w:val="006C73D4"/>
    <w:rsid w:val="006D5054"/>
    <w:rsid w:val="006E46A5"/>
    <w:rsid w:val="006E5805"/>
    <w:rsid w:val="006E6C0E"/>
    <w:rsid w:val="006F2DED"/>
    <w:rsid w:val="006F4BD7"/>
    <w:rsid w:val="00702880"/>
    <w:rsid w:val="007117B6"/>
    <w:rsid w:val="0071327B"/>
    <w:rsid w:val="00714AF4"/>
    <w:rsid w:val="00722E00"/>
    <w:rsid w:val="00727F43"/>
    <w:rsid w:val="0073093A"/>
    <w:rsid w:val="007376D0"/>
    <w:rsid w:val="007378AD"/>
    <w:rsid w:val="00737D81"/>
    <w:rsid w:val="007403A9"/>
    <w:rsid w:val="007474CC"/>
    <w:rsid w:val="0075598C"/>
    <w:rsid w:val="007646DE"/>
    <w:rsid w:val="00765387"/>
    <w:rsid w:val="00775D95"/>
    <w:rsid w:val="00776012"/>
    <w:rsid w:val="00777C05"/>
    <w:rsid w:val="007807E7"/>
    <w:rsid w:val="00786EFD"/>
    <w:rsid w:val="00792704"/>
    <w:rsid w:val="00792FF8"/>
    <w:rsid w:val="00795681"/>
    <w:rsid w:val="007A4DA4"/>
    <w:rsid w:val="007B17C4"/>
    <w:rsid w:val="007B20A5"/>
    <w:rsid w:val="007C3370"/>
    <w:rsid w:val="007C734D"/>
    <w:rsid w:val="007C749C"/>
    <w:rsid w:val="007C7F4A"/>
    <w:rsid w:val="007D55C8"/>
    <w:rsid w:val="007D5F6D"/>
    <w:rsid w:val="007D7873"/>
    <w:rsid w:val="007E4240"/>
    <w:rsid w:val="007F1E09"/>
    <w:rsid w:val="007F29BA"/>
    <w:rsid w:val="008008A7"/>
    <w:rsid w:val="008055E9"/>
    <w:rsid w:val="00810F28"/>
    <w:rsid w:val="0081221D"/>
    <w:rsid w:val="008155C7"/>
    <w:rsid w:val="0081584E"/>
    <w:rsid w:val="00815CBA"/>
    <w:rsid w:val="008219EE"/>
    <w:rsid w:val="00822789"/>
    <w:rsid w:val="00833764"/>
    <w:rsid w:val="008364F4"/>
    <w:rsid w:val="008367A6"/>
    <w:rsid w:val="00845539"/>
    <w:rsid w:val="00846053"/>
    <w:rsid w:val="00851A29"/>
    <w:rsid w:val="00853C8E"/>
    <w:rsid w:val="00854F28"/>
    <w:rsid w:val="00855E21"/>
    <w:rsid w:val="00856F70"/>
    <w:rsid w:val="00857586"/>
    <w:rsid w:val="008578FD"/>
    <w:rsid w:val="00874788"/>
    <w:rsid w:val="00875040"/>
    <w:rsid w:val="008753B8"/>
    <w:rsid w:val="008849CD"/>
    <w:rsid w:val="0088723A"/>
    <w:rsid w:val="00890F0F"/>
    <w:rsid w:val="008A1692"/>
    <w:rsid w:val="008A366A"/>
    <w:rsid w:val="008A4B5D"/>
    <w:rsid w:val="008A51AC"/>
    <w:rsid w:val="008B13DE"/>
    <w:rsid w:val="008C0DC3"/>
    <w:rsid w:val="008C31EE"/>
    <w:rsid w:val="008C4BC3"/>
    <w:rsid w:val="008C7B4C"/>
    <w:rsid w:val="008D5289"/>
    <w:rsid w:val="008E2F4B"/>
    <w:rsid w:val="008E459E"/>
    <w:rsid w:val="008F1BC0"/>
    <w:rsid w:val="008F2C1C"/>
    <w:rsid w:val="008F6473"/>
    <w:rsid w:val="00900FD9"/>
    <w:rsid w:val="009050E1"/>
    <w:rsid w:val="00905B56"/>
    <w:rsid w:val="00914530"/>
    <w:rsid w:val="009155D3"/>
    <w:rsid w:val="0091636B"/>
    <w:rsid w:val="009239AA"/>
    <w:rsid w:val="00925FD5"/>
    <w:rsid w:val="009311B2"/>
    <w:rsid w:val="00932062"/>
    <w:rsid w:val="00941765"/>
    <w:rsid w:val="00943027"/>
    <w:rsid w:val="00950907"/>
    <w:rsid w:val="00950946"/>
    <w:rsid w:val="00951BBA"/>
    <w:rsid w:val="00951BF5"/>
    <w:rsid w:val="0095373C"/>
    <w:rsid w:val="00960132"/>
    <w:rsid w:val="00961F3C"/>
    <w:rsid w:val="009624D6"/>
    <w:rsid w:val="0097316A"/>
    <w:rsid w:val="009746E1"/>
    <w:rsid w:val="00976322"/>
    <w:rsid w:val="0098004F"/>
    <w:rsid w:val="00982566"/>
    <w:rsid w:val="00994056"/>
    <w:rsid w:val="00994885"/>
    <w:rsid w:val="00996576"/>
    <w:rsid w:val="009A0AF4"/>
    <w:rsid w:val="009A1C3F"/>
    <w:rsid w:val="009A5866"/>
    <w:rsid w:val="009B037C"/>
    <w:rsid w:val="009B1EB5"/>
    <w:rsid w:val="009B7CE2"/>
    <w:rsid w:val="009C014F"/>
    <w:rsid w:val="009D0621"/>
    <w:rsid w:val="009D1914"/>
    <w:rsid w:val="009F7C86"/>
    <w:rsid w:val="00A01B8C"/>
    <w:rsid w:val="00A01C26"/>
    <w:rsid w:val="00A03F78"/>
    <w:rsid w:val="00A07B68"/>
    <w:rsid w:val="00A20FFB"/>
    <w:rsid w:val="00A2625B"/>
    <w:rsid w:val="00A2736D"/>
    <w:rsid w:val="00A27AAE"/>
    <w:rsid w:val="00A32CCF"/>
    <w:rsid w:val="00A45CF5"/>
    <w:rsid w:val="00A464C6"/>
    <w:rsid w:val="00A476EE"/>
    <w:rsid w:val="00A563D1"/>
    <w:rsid w:val="00A57E63"/>
    <w:rsid w:val="00A64D25"/>
    <w:rsid w:val="00A733A1"/>
    <w:rsid w:val="00A74070"/>
    <w:rsid w:val="00A855FF"/>
    <w:rsid w:val="00A864BA"/>
    <w:rsid w:val="00A90942"/>
    <w:rsid w:val="00AA09CB"/>
    <w:rsid w:val="00AA57F2"/>
    <w:rsid w:val="00AA6041"/>
    <w:rsid w:val="00AB25B2"/>
    <w:rsid w:val="00AB44F3"/>
    <w:rsid w:val="00AB4E57"/>
    <w:rsid w:val="00AB5ECD"/>
    <w:rsid w:val="00AC6F33"/>
    <w:rsid w:val="00AD52F2"/>
    <w:rsid w:val="00AD53FA"/>
    <w:rsid w:val="00AE5BC0"/>
    <w:rsid w:val="00AF1D21"/>
    <w:rsid w:val="00AF4119"/>
    <w:rsid w:val="00AF5E2E"/>
    <w:rsid w:val="00B01BDC"/>
    <w:rsid w:val="00B04A26"/>
    <w:rsid w:val="00B053B3"/>
    <w:rsid w:val="00B11E52"/>
    <w:rsid w:val="00B12183"/>
    <w:rsid w:val="00B1266F"/>
    <w:rsid w:val="00B13E96"/>
    <w:rsid w:val="00B15A6A"/>
    <w:rsid w:val="00B23501"/>
    <w:rsid w:val="00B329AD"/>
    <w:rsid w:val="00B335F2"/>
    <w:rsid w:val="00B361C1"/>
    <w:rsid w:val="00B4258D"/>
    <w:rsid w:val="00B46A47"/>
    <w:rsid w:val="00B5350E"/>
    <w:rsid w:val="00B66799"/>
    <w:rsid w:val="00B66D65"/>
    <w:rsid w:val="00B67063"/>
    <w:rsid w:val="00B70CBF"/>
    <w:rsid w:val="00B767CC"/>
    <w:rsid w:val="00B77324"/>
    <w:rsid w:val="00B803E0"/>
    <w:rsid w:val="00BB0812"/>
    <w:rsid w:val="00BB1636"/>
    <w:rsid w:val="00BB4DFB"/>
    <w:rsid w:val="00BC14E6"/>
    <w:rsid w:val="00BC14E9"/>
    <w:rsid w:val="00BC291F"/>
    <w:rsid w:val="00BC3D80"/>
    <w:rsid w:val="00BC50DE"/>
    <w:rsid w:val="00BC5F21"/>
    <w:rsid w:val="00BC6540"/>
    <w:rsid w:val="00BC6AB5"/>
    <w:rsid w:val="00BD476C"/>
    <w:rsid w:val="00BE6D80"/>
    <w:rsid w:val="00BF7E55"/>
    <w:rsid w:val="00C019C5"/>
    <w:rsid w:val="00C040A2"/>
    <w:rsid w:val="00C243A6"/>
    <w:rsid w:val="00C24622"/>
    <w:rsid w:val="00C24700"/>
    <w:rsid w:val="00C27C5E"/>
    <w:rsid w:val="00C327A0"/>
    <w:rsid w:val="00C32C8E"/>
    <w:rsid w:val="00C34C4C"/>
    <w:rsid w:val="00C4235C"/>
    <w:rsid w:val="00C43E5E"/>
    <w:rsid w:val="00C453DC"/>
    <w:rsid w:val="00C45E46"/>
    <w:rsid w:val="00C51222"/>
    <w:rsid w:val="00C6124A"/>
    <w:rsid w:val="00C710E4"/>
    <w:rsid w:val="00C72B41"/>
    <w:rsid w:val="00C7484E"/>
    <w:rsid w:val="00C74EF0"/>
    <w:rsid w:val="00C772EA"/>
    <w:rsid w:val="00CA02B9"/>
    <w:rsid w:val="00CA2E0A"/>
    <w:rsid w:val="00CA3321"/>
    <w:rsid w:val="00CA5108"/>
    <w:rsid w:val="00CB2647"/>
    <w:rsid w:val="00CB400A"/>
    <w:rsid w:val="00CC5EB9"/>
    <w:rsid w:val="00CD4F11"/>
    <w:rsid w:val="00CD667F"/>
    <w:rsid w:val="00CD7DA6"/>
    <w:rsid w:val="00CE2E76"/>
    <w:rsid w:val="00CE382A"/>
    <w:rsid w:val="00CE4EE1"/>
    <w:rsid w:val="00CF1633"/>
    <w:rsid w:val="00CF4003"/>
    <w:rsid w:val="00CF64BC"/>
    <w:rsid w:val="00D0188A"/>
    <w:rsid w:val="00D029F9"/>
    <w:rsid w:val="00D0423A"/>
    <w:rsid w:val="00D12030"/>
    <w:rsid w:val="00D13567"/>
    <w:rsid w:val="00D24944"/>
    <w:rsid w:val="00D26CEB"/>
    <w:rsid w:val="00D30379"/>
    <w:rsid w:val="00D314D7"/>
    <w:rsid w:val="00D317A3"/>
    <w:rsid w:val="00D319D3"/>
    <w:rsid w:val="00D31DD2"/>
    <w:rsid w:val="00D3582F"/>
    <w:rsid w:val="00D36A15"/>
    <w:rsid w:val="00D46468"/>
    <w:rsid w:val="00D46BDF"/>
    <w:rsid w:val="00D501AB"/>
    <w:rsid w:val="00D520BC"/>
    <w:rsid w:val="00D5214E"/>
    <w:rsid w:val="00D555DD"/>
    <w:rsid w:val="00D5702C"/>
    <w:rsid w:val="00D62C69"/>
    <w:rsid w:val="00D635F8"/>
    <w:rsid w:val="00D6401D"/>
    <w:rsid w:val="00D64E4B"/>
    <w:rsid w:val="00D65E39"/>
    <w:rsid w:val="00D708CE"/>
    <w:rsid w:val="00D72E17"/>
    <w:rsid w:val="00D73F72"/>
    <w:rsid w:val="00D74012"/>
    <w:rsid w:val="00D82905"/>
    <w:rsid w:val="00D90A9A"/>
    <w:rsid w:val="00D92409"/>
    <w:rsid w:val="00D93FAF"/>
    <w:rsid w:val="00D979B7"/>
    <w:rsid w:val="00DA2036"/>
    <w:rsid w:val="00DA2CAB"/>
    <w:rsid w:val="00DA4F00"/>
    <w:rsid w:val="00DA5C39"/>
    <w:rsid w:val="00DB14E1"/>
    <w:rsid w:val="00DB2766"/>
    <w:rsid w:val="00DB2C43"/>
    <w:rsid w:val="00DB3D19"/>
    <w:rsid w:val="00DB60D8"/>
    <w:rsid w:val="00DC4EE5"/>
    <w:rsid w:val="00DD340F"/>
    <w:rsid w:val="00DD7000"/>
    <w:rsid w:val="00DE187A"/>
    <w:rsid w:val="00DE1BB8"/>
    <w:rsid w:val="00DF0025"/>
    <w:rsid w:val="00DF4DAC"/>
    <w:rsid w:val="00E0240A"/>
    <w:rsid w:val="00E024A7"/>
    <w:rsid w:val="00E04F9B"/>
    <w:rsid w:val="00E0754B"/>
    <w:rsid w:val="00E1146F"/>
    <w:rsid w:val="00E13B21"/>
    <w:rsid w:val="00E152A6"/>
    <w:rsid w:val="00E1562A"/>
    <w:rsid w:val="00E17C81"/>
    <w:rsid w:val="00E23747"/>
    <w:rsid w:val="00E251C8"/>
    <w:rsid w:val="00E26D83"/>
    <w:rsid w:val="00E34E3E"/>
    <w:rsid w:val="00E35586"/>
    <w:rsid w:val="00E37643"/>
    <w:rsid w:val="00E404FB"/>
    <w:rsid w:val="00E43ABB"/>
    <w:rsid w:val="00E50907"/>
    <w:rsid w:val="00E516E0"/>
    <w:rsid w:val="00E538D8"/>
    <w:rsid w:val="00E550D0"/>
    <w:rsid w:val="00E55654"/>
    <w:rsid w:val="00E62648"/>
    <w:rsid w:val="00E704EF"/>
    <w:rsid w:val="00E70A26"/>
    <w:rsid w:val="00E70E90"/>
    <w:rsid w:val="00E76D00"/>
    <w:rsid w:val="00E85E83"/>
    <w:rsid w:val="00E8689A"/>
    <w:rsid w:val="00E87A6A"/>
    <w:rsid w:val="00E87E96"/>
    <w:rsid w:val="00E958AB"/>
    <w:rsid w:val="00E97AB6"/>
    <w:rsid w:val="00EA1A76"/>
    <w:rsid w:val="00EA774D"/>
    <w:rsid w:val="00EB106B"/>
    <w:rsid w:val="00EB25FA"/>
    <w:rsid w:val="00EB4BD5"/>
    <w:rsid w:val="00EB5E05"/>
    <w:rsid w:val="00EC1BC3"/>
    <w:rsid w:val="00ED0907"/>
    <w:rsid w:val="00ED4702"/>
    <w:rsid w:val="00EE7B23"/>
    <w:rsid w:val="00EF6404"/>
    <w:rsid w:val="00F037C9"/>
    <w:rsid w:val="00F12FCF"/>
    <w:rsid w:val="00F14A1A"/>
    <w:rsid w:val="00F15157"/>
    <w:rsid w:val="00F22FC0"/>
    <w:rsid w:val="00F240E1"/>
    <w:rsid w:val="00F27407"/>
    <w:rsid w:val="00F31EE7"/>
    <w:rsid w:val="00F327F3"/>
    <w:rsid w:val="00F350DA"/>
    <w:rsid w:val="00F35E09"/>
    <w:rsid w:val="00F40183"/>
    <w:rsid w:val="00F41DCF"/>
    <w:rsid w:val="00F4346E"/>
    <w:rsid w:val="00F52885"/>
    <w:rsid w:val="00F611F6"/>
    <w:rsid w:val="00F6633B"/>
    <w:rsid w:val="00F7135E"/>
    <w:rsid w:val="00F95E9A"/>
    <w:rsid w:val="00FA34A1"/>
    <w:rsid w:val="00FA46AE"/>
    <w:rsid w:val="00FA7991"/>
    <w:rsid w:val="00FB17F3"/>
    <w:rsid w:val="00FB197C"/>
    <w:rsid w:val="00FB400F"/>
    <w:rsid w:val="00FC1720"/>
    <w:rsid w:val="00FC68E3"/>
    <w:rsid w:val="00FD169E"/>
    <w:rsid w:val="00FD27E6"/>
    <w:rsid w:val="00FD2D74"/>
    <w:rsid w:val="00FD422D"/>
    <w:rsid w:val="00FD55B8"/>
    <w:rsid w:val="00FE161F"/>
    <w:rsid w:val="00FE3627"/>
    <w:rsid w:val="00FE3685"/>
    <w:rsid w:val="00FF2549"/>
    <w:rsid w:val="06CE187B"/>
    <w:rsid w:val="09383C4B"/>
    <w:rsid w:val="24D37129"/>
    <w:rsid w:val="29332B04"/>
    <w:rsid w:val="3B91745A"/>
    <w:rsid w:val="47AC33CF"/>
    <w:rsid w:val="7556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DA15"/>
  <w15:docId w15:val="{4CCA375C-0F14-4D6F-AE70-8A6F87D1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tabs>
        <w:tab w:val="clear" w:pos="2880"/>
        <w:tab w:val="left" w:pos="426"/>
      </w:tabs>
      <w:spacing w:after="0" w:line="240" w:lineRule="auto"/>
      <w:ind w:left="567"/>
      <w:outlineLvl w:val="0"/>
    </w:pPr>
    <w:rPr>
      <w:rFonts w:asciiTheme="majorHAnsi" w:eastAsia="Times New Roman" w:hAnsiTheme="majorHAnsi" w:cs="Times New Roman"/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numId w:val="2"/>
      </w:numPr>
      <w:spacing w:after="0" w:line="240" w:lineRule="auto"/>
      <w:outlineLvl w:val="1"/>
    </w:pPr>
    <w:rPr>
      <w:rFonts w:asciiTheme="majorHAnsi" w:eastAsia="Times New Roman" w:hAnsiTheme="majorHAnsi" w:cs="Times New Roman"/>
      <w:b/>
      <w:i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1"/>
        <w:numId w:val="3"/>
      </w:numPr>
      <w:spacing w:after="0" w:line="240" w:lineRule="auto"/>
      <w:jc w:val="center"/>
      <w:outlineLvl w:val="2"/>
    </w:pPr>
    <w:rPr>
      <w:rFonts w:asciiTheme="majorHAnsi" w:eastAsia="Times New Roman" w:hAnsiTheme="majorHAnsi" w:cs="Times New Roman"/>
      <w:b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1"/>
        <w:numId w:val="1"/>
      </w:numPr>
      <w:spacing w:after="0" w:line="240" w:lineRule="auto"/>
      <w:jc w:val="both"/>
      <w:outlineLvl w:val="3"/>
    </w:pPr>
    <w:rPr>
      <w:rFonts w:asciiTheme="majorHAnsi" w:eastAsia="Times New Roman" w:hAnsiTheme="majorHAnsi" w:cs="Times New Roman"/>
      <w:b/>
      <w:i/>
      <w:i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2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="Times New Roman" w:hAnsiTheme="majorHAnsi" w:cs="Times New Roman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qFormat/>
    <w:rPr>
      <w:rFonts w:asciiTheme="majorHAnsi" w:eastAsia="Times New Roman" w:hAnsiTheme="majorHAnsi" w:cs="Times New Roman"/>
      <w:b/>
      <w:i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qFormat/>
    <w:rPr>
      <w:rFonts w:asciiTheme="majorHAnsi" w:eastAsia="Times New Roman" w:hAnsiTheme="majorHAnsi" w:cs="Times New Roman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Theme="majorHAnsi" w:eastAsia="Times New Roman" w:hAnsiTheme="majorHAnsi" w:cs="Times New Roman"/>
      <w:b/>
      <w:i/>
      <w:iCs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BodyTextIndent">
    <w:name w:val="Body Text Indent"/>
    <w:basedOn w:val="Normal"/>
    <w:link w:val="BodyTextIndentChar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qFormat/>
    <w:pPr>
      <w:spacing w:after="100"/>
      <w:ind w:left="132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qFormat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78">
    <w:name w:val="xl7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79">
    <w:name w:val="xl79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0">
    <w:name w:val="xl8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1">
    <w:name w:val="xl81"/>
    <w:basedOn w:val="Normal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2">
    <w:name w:val="xl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3">
    <w:name w:val="xl83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4">
    <w:name w:val="xl8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8"/>
      <w:szCs w:val="28"/>
      <w:lang w:eastAsia="hr-HR"/>
    </w:rPr>
  </w:style>
  <w:style w:type="paragraph" w:customStyle="1" w:styleId="xl85">
    <w:name w:val="xl85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90">
    <w:name w:val="xl9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1">
    <w:name w:val="xl91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sz w:val="18"/>
      <w:szCs w:val="18"/>
      <w:lang w:eastAsia="hr-HR"/>
    </w:rPr>
  </w:style>
  <w:style w:type="paragraph" w:customStyle="1" w:styleId="xl92">
    <w:name w:val="xl92"/>
    <w:basedOn w:val="Normal"/>
    <w:qFormat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3">
    <w:name w:val="xl93"/>
    <w:basedOn w:val="Normal"/>
    <w:qFormat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4">
    <w:name w:val="xl94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5">
    <w:name w:val="xl95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6">
    <w:name w:val="xl96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98">
    <w:name w:val="xl98"/>
    <w:basedOn w:val="Normal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99">
    <w:name w:val="xl9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00">
    <w:name w:val="xl100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01">
    <w:name w:val="xl10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02">
    <w:name w:val="xl102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3">
    <w:name w:val="xl103"/>
    <w:basedOn w:val="Normal"/>
    <w:qFormat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4">
    <w:name w:val="xl104"/>
    <w:basedOn w:val="Normal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5">
    <w:name w:val="xl10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6">
    <w:name w:val="xl10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07">
    <w:name w:val="xl10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08">
    <w:name w:val="xl10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3300"/>
      <w:sz w:val="18"/>
      <w:szCs w:val="18"/>
      <w:lang w:eastAsia="hr-HR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3300"/>
      <w:sz w:val="18"/>
      <w:szCs w:val="18"/>
      <w:lang w:eastAsia="hr-HR"/>
    </w:rPr>
  </w:style>
  <w:style w:type="paragraph" w:customStyle="1" w:styleId="xl110">
    <w:name w:val="xl11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3300"/>
      <w:sz w:val="18"/>
      <w:szCs w:val="18"/>
      <w:lang w:eastAsia="hr-HR"/>
    </w:rPr>
  </w:style>
  <w:style w:type="paragraph" w:customStyle="1" w:styleId="xl111">
    <w:name w:val="xl111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24"/>
      <w:szCs w:val="24"/>
      <w:lang w:eastAsia="hr-HR"/>
    </w:rPr>
  </w:style>
  <w:style w:type="paragraph" w:customStyle="1" w:styleId="xl112">
    <w:name w:val="xl11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3">
    <w:name w:val="xl11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4">
    <w:name w:val="xl11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F9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5">
    <w:name w:val="xl115"/>
    <w:basedOn w:val="Normal"/>
    <w:pPr>
      <w:pBdr>
        <w:top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6">
    <w:name w:val="xl116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7">
    <w:name w:val="xl11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8">
    <w:name w:val="xl118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19">
    <w:name w:val="xl11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0">
    <w:name w:val="xl120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1">
    <w:name w:val="xl12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3">
    <w:name w:val="xl12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4">
    <w:name w:val="xl12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5">
    <w:name w:val="xl1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6">
    <w:name w:val="xl12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7">
    <w:name w:val="xl12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8">
    <w:name w:val="xl12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29">
    <w:name w:val="xl129"/>
    <w:basedOn w:val="Normal"/>
    <w:qFormat/>
    <w:pPr>
      <w:pBdr>
        <w:top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0">
    <w:name w:val="xl130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1">
    <w:name w:val="xl131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2">
    <w:name w:val="xl13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3">
    <w:name w:val="xl133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4">
    <w:name w:val="xl134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5">
    <w:name w:val="xl1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6">
    <w:name w:val="xl13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7">
    <w:name w:val="xl13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8">
    <w:name w:val="xl13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39">
    <w:name w:val="xl139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0">
    <w:name w:val="xl1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41">
    <w:name w:val="xl1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2">
    <w:name w:val="xl1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3">
    <w:name w:val="xl1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4">
    <w:name w:val="xl14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5">
    <w:name w:val="xl14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46">
    <w:name w:val="xl1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7">
    <w:name w:val="xl1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8">
    <w:name w:val="xl1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49">
    <w:name w:val="xl14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3300"/>
      <w:sz w:val="18"/>
      <w:szCs w:val="18"/>
      <w:lang w:eastAsia="hr-HR"/>
    </w:rPr>
  </w:style>
  <w:style w:type="paragraph" w:customStyle="1" w:styleId="xl150">
    <w:name w:val="xl150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1">
    <w:name w:val="xl15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2">
    <w:name w:val="xl15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3">
    <w:name w:val="xl1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54">
    <w:name w:val="xl15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55">
    <w:name w:val="xl15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6">
    <w:name w:val="xl1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7">
    <w:name w:val="xl157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58">
    <w:name w:val="xl158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3300"/>
      <w:sz w:val="18"/>
      <w:szCs w:val="18"/>
      <w:lang w:eastAsia="hr-HR"/>
    </w:rPr>
  </w:style>
  <w:style w:type="paragraph" w:customStyle="1" w:styleId="xl159">
    <w:name w:val="xl159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F8FD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60">
    <w:name w:val="xl160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61">
    <w:name w:val="xl16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62">
    <w:name w:val="xl16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xl163">
    <w:name w:val="xl16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3300"/>
      <w:sz w:val="26"/>
      <w:szCs w:val="26"/>
      <w:lang w:eastAsia="hr-HR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ajorHAnsi" w:eastAsia="Times New Roman" w:hAnsiTheme="majorHAnsi" w:cs="Times New Roman"/>
      <w:b/>
      <w:sz w:val="32"/>
      <w:lang w:eastAsia="hr-HR"/>
    </w:rPr>
  </w:style>
  <w:style w:type="table" w:customStyle="1" w:styleId="StilTablice">
    <w:name w:val="StilTablice"/>
    <w:basedOn w:val="TableNormal"/>
    <w:uiPriority w:val="99"/>
    <w:pPr>
      <w:spacing w:after="12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Obinatablica1">
    <w:name w:val="Obična tablica1"/>
    <w:semiHidden/>
    <w:qFormat/>
    <w:pPr>
      <w:spacing w:after="0"/>
    </w:p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xl164">
    <w:name w:val="xl164"/>
    <w:basedOn w:val="Normal"/>
    <w:rsid w:val="00D303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xl165">
    <w:name w:val="xl165"/>
    <w:basedOn w:val="Normal"/>
    <w:rsid w:val="00D303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003300"/>
      <w:sz w:val="18"/>
      <w:szCs w:val="18"/>
      <w:lang w:eastAsia="hr-HR"/>
    </w:rPr>
  </w:style>
  <w:style w:type="paragraph" w:customStyle="1" w:styleId="msonormal0">
    <w:name w:val="msonormal"/>
    <w:basedOn w:val="Normal"/>
    <w:rsid w:val="0095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92A1B0-3FC5-4988-8118-E6CDBDE3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20</Pages>
  <Words>4918</Words>
  <Characters>28038</Characters>
  <Application>Microsoft Office Word</Application>
  <DocSecurity>0</DocSecurity>
  <Lines>233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Skarica</dc:creator>
  <cp:lastModifiedBy>Vesna Skarica</cp:lastModifiedBy>
  <cp:revision>16</cp:revision>
  <cp:lastPrinted>2024-08-28T10:57:00Z</cp:lastPrinted>
  <dcterms:created xsi:type="dcterms:W3CDTF">2024-08-26T10:26:00Z</dcterms:created>
  <dcterms:modified xsi:type="dcterms:W3CDTF">2024-08-28T11:10:00Z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